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D7CA2" w14:textId="77777777" w:rsidR="00F42E08" w:rsidRPr="00EC4B19" w:rsidRDefault="00F42E08" w:rsidP="00F42E08">
      <w:pPr>
        <w:jc w:val="center"/>
        <w:rPr>
          <w:b/>
        </w:rPr>
      </w:pPr>
      <w:bookmarkStart w:id="0" w:name="_GoBack"/>
      <w:bookmarkEnd w:id="0"/>
    </w:p>
    <w:p w14:paraId="78F0F9E7" w14:textId="77777777" w:rsidR="00F42E08" w:rsidRPr="00EC4B19" w:rsidRDefault="00F42E08" w:rsidP="00F42E08">
      <w:pPr>
        <w:jc w:val="center"/>
        <w:rPr>
          <w:b/>
        </w:rPr>
      </w:pPr>
    </w:p>
    <w:p w14:paraId="2F730E40" w14:textId="77777777" w:rsidR="00F42E08" w:rsidRPr="00EC4B19" w:rsidRDefault="00F42E08" w:rsidP="00F42E08">
      <w:pPr>
        <w:jc w:val="center"/>
        <w:rPr>
          <w:b/>
        </w:rPr>
      </w:pPr>
    </w:p>
    <w:p w14:paraId="6A647DA4" w14:textId="77777777" w:rsidR="00F42E08" w:rsidRPr="00EC4B19" w:rsidRDefault="00F42E08" w:rsidP="00F42E08">
      <w:pPr>
        <w:jc w:val="center"/>
        <w:rPr>
          <w:b/>
        </w:rPr>
      </w:pPr>
    </w:p>
    <w:p w14:paraId="02D05003" w14:textId="77777777" w:rsidR="00F42E08" w:rsidRPr="00EC4B19" w:rsidRDefault="00F42E08" w:rsidP="00F42E08">
      <w:pPr>
        <w:jc w:val="center"/>
        <w:rPr>
          <w:b/>
        </w:rPr>
      </w:pPr>
    </w:p>
    <w:p w14:paraId="1296B114" w14:textId="77777777" w:rsidR="00F42E08" w:rsidRPr="00EC4B19" w:rsidRDefault="00F42E08" w:rsidP="00F42E08">
      <w:pPr>
        <w:jc w:val="center"/>
        <w:rPr>
          <w:b/>
        </w:rPr>
      </w:pPr>
    </w:p>
    <w:p w14:paraId="2D466636" w14:textId="77777777" w:rsidR="00F42E08" w:rsidRPr="00EC4B19" w:rsidRDefault="00F42E08" w:rsidP="00F42E08">
      <w:pPr>
        <w:jc w:val="center"/>
        <w:rPr>
          <w:b/>
        </w:rPr>
      </w:pPr>
    </w:p>
    <w:p w14:paraId="2CDD5FA2" w14:textId="77777777" w:rsidR="00F42E08" w:rsidRPr="00EC4B19" w:rsidRDefault="00F42E08" w:rsidP="00F42E08">
      <w:pPr>
        <w:jc w:val="center"/>
        <w:rPr>
          <w:b/>
        </w:rPr>
      </w:pPr>
    </w:p>
    <w:p w14:paraId="0481B88A" w14:textId="77777777" w:rsidR="00F42E08" w:rsidRPr="00EC4B19" w:rsidRDefault="00F42E08" w:rsidP="00F42E08">
      <w:pPr>
        <w:jc w:val="center"/>
        <w:rPr>
          <w:b/>
        </w:rPr>
      </w:pPr>
    </w:p>
    <w:p w14:paraId="7FFA573F" w14:textId="77777777" w:rsidR="00F42E08" w:rsidRPr="00EC4B19" w:rsidRDefault="00F42E08" w:rsidP="00F42E08">
      <w:pPr>
        <w:jc w:val="center"/>
        <w:rPr>
          <w:b/>
        </w:rPr>
      </w:pPr>
    </w:p>
    <w:p w14:paraId="7EF192A6" w14:textId="77777777" w:rsidR="00F42E08" w:rsidRPr="00EC4B19" w:rsidRDefault="00F42E08" w:rsidP="00F42E08">
      <w:pPr>
        <w:jc w:val="center"/>
        <w:rPr>
          <w:b/>
        </w:rPr>
      </w:pPr>
    </w:p>
    <w:p w14:paraId="09956F2E" w14:textId="77777777" w:rsidR="00F42E08" w:rsidRPr="00EC4B19" w:rsidRDefault="00F42E08" w:rsidP="00F42E08">
      <w:pPr>
        <w:jc w:val="center"/>
        <w:rPr>
          <w:b/>
        </w:rPr>
      </w:pPr>
    </w:p>
    <w:p w14:paraId="06ACE3B9" w14:textId="77777777" w:rsidR="00F42E08" w:rsidRPr="00EC4B19" w:rsidRDefault="00F42E08" w:rsidP="00F42E08">
      <w:pPr>
        <w:jc w:val="center"/>
        <w:rPr>
          <w:b/>
        </w:rPr>
      </w:pPr>
    </w:p>
    <w:p w14:paraId="35BAF330" w14:textId="77777777" w:rsidR="00F42E08" w:rsidRPr="00EC4B19" w:rsidRDefault="00F42E08" w:rsidP="00F42E08">
      <w:pPr>
        <w:jc w:val="center"/>
        <w:rPr>
          <w:b/>
        </w:rPr>
      </w:pPr>
    </w:p>
    <w:p w14:paraId="6D8A5B74" w14:textId="77777777" w:rsidR="00F42E08" w:rsidRPr="00EC4B19" w:rsidRDefault="00F42E08" w:rsidP="00F42E08">
      <w:pPr>
        <w:jc w:val="center"/>
        <w:rPr>
          <w:b/>
        </w:rPr>
      </w:pPr>
    </w:p>
    <w:p w14:paraId="01890547" w14:textId="77777777" w:rsidR="00F42E08" w:rsidRPr="00EC4B19" w:rsidRDefault="00F42E08" w:rsidP="00F42E08">
      <w:pPr>
        <w:jc w:val="center"/>
        <w:rPr>
          <w:b/>
        </w:rPr>
      </w:pPr>
    </w:p>
    <w:p w14:paraId="008B3EB6" w14:textId="77777777" w:rsidR="00F42E08" w:rsidRPr="00EC4B19" w:rsidRDefault="00F42E08" w:rsidP="00F42E08">
      <w:pPr>
        <w:jc w:val="center"/>
        <w:rPr>
          <w:b/>
        </w:rPr>
      </w:pPr>
    </w:p>
    <w:p w14:paraId="63163C33" w14:textId="77777777" w:rsidR="00F42E08" w:rsidRPr="00EC4B19" w:rsidRDefault="00F42E08" w:rsidP="00F42E08">
      <w:pPr>
        <w:jc w:val="center"/>
        <w:rPr>
          <w:b/>
        </w:rPr>
      </w:pPr>
    </w:p>
    <w:p w14:paraId="7C264E96" w14:textId="77777777" w:rsidR="00F42E08" w:rsidRPr="00EC4B19" w:rsidRDefault="00F42E08" w:rsidP="00F42E08">
      <w:pPr>
        <w:jc w:val="center"/>
        <w:rPr>
          <w:b/>
        </w:rPr>
      </w:pPr>
    </w:p>
    <w:p w14:paraId="2D999C61" w14:textId="77777777" w:rsidR="00F42E08" w:rsidRPr="00EC4B19" w:rsidRDefault="00F42E08" w:rsidP="00F42E08">
      <w:pPr>
        <w:jc w:val="center"/>
        <w:rPr>
          <w:b/>
        </w:rPr>
      </w:pPr>
    </w:p>
    <w:p w14:paraId="1D2BF312" w14:textId="77777777" w:rsidR="00F42E08" w:rsidRPr="00EC4B19" w:rsidRDefault="00F42E08" w:rsidP="00F42E08">
      <w:pPr>
        <w:jc w:val="center"/>
        <w:rPr>
          <w:b/>
        </w:rPr>
      </w:pPr>
    </w:p>
    <w:p w14:paraId="62E85F23" w14:textId="77777777" w:rsidR="00F42E08" w:rsidRPr="00EC4B19" w:rsidRDefault="00F42E08" w:rsidP="00F42E08">
      <w:pPr>
        <w:jc w:val="center"/>
        <w:rPr>
          <w:b/>
        </w:rPr>
      </w:pPr>
    </w:p>
    <w:p w14:paraId="7B0EBAB6" w14:textId="3AC89C17" w:rsidR="00F42E08" w:rsidRPr="00EC4B19" w:rsidRDefault="00F42E08" w:rsidP="00F42E08">
      <w:pPr>
        <w:jc w:val="center"/>
        <w:rPr>
          <w:b/>
        </w:rPr>
      </w:pPr>
      <w:r w:rsidRPr="00EC4B19">
        <w:rPr>
          <w:b/>
        </w:rPr>
        <w:t>OBRAZLOŽENJE OPĆEG DIJELA DRŽAVNOG PRORAČUNA REPUBLIKE HRVATSKE ZA 202</w:t>
      </w:r>
      <w:r w:rsidR="00695D19" w:rsidRPr="00EC4B19">
        <w:rPr>
          <w:b/>
        </w:rPr>
        <w:t>5</w:t>
      </w:r>
      <w:r w:rsidRPr="00EC4B19">
        <w:rPr>
          <w:b/>
        </w:rPr>
        <w:t>. GODINU</w:t>
      </w:r>
    </w:p>
    <w:p w14:paraId="7F1DCB94" w14:textId="77777777" w:rsidR="00F42E08" w:rsidRPr="00EC4B19" w:rsidRDefault="00F42E08" w:rsidP="00F42E08">
      <w:pPr>
        <w:jc w:val="center"/>
        <w:rPr>
          <w:b/>
        </w:rPr>
      </w:pPr>
    </w:p>
    <w:p w14:paraId="7F8A379A" w14:textId="0796A5BF" w:rsidR="00F42E08" w:rsidRPr="00EC4B19" w:rsidRDefault="00F42E08" w:rsidP="00CA156B">
      <w:pPr>
        <w:jc w:val="center"/>
        <w:rPr>
          <w:b/>
          <w:bCs/>
          <w:sz w:val="28"/>
          <w:szCs w:val="28"/>
        </w:rPr>
      </w:pPr>
    </w:p>
    <w:p w14:paraId="396156AC" w14:textId="6646C67F" w:rsidR="00F42E08" w:rsidRPr="00EC4B19" w:rsidRDefault="00F42E08" w:rsidP="00CA156B">
      <w:pPr>
        <w:jc w:val="center"/>
        <w:rPr>
          <w:b/>
          <w:bCs/>
          <w:sz w:val="28"/>
          <w:szCs w:val="28"/>
        </w:rPr>
      </w:pPr>
    </w:p>
    <w:p w14:paraId="4439D0F3" w14:textId="7911D9CF" w:rsidR="00F42E08" w:rsidRPr="00EC4B19" w:rsidRDefault="00F42E08" w:rsidP="00CA156B">
      <w:pPr>
        <w:jc w:val="center"/>
        <w:rPr>
          <w:b/>
          <w:bCs/>
          <w:sz w:val="28"/>
          <w:szCs w:val="28"/>
        </w:rPr>
      </w:pPr>
    </w:p>
    <w:p w14:paraId="3CDDCABE" w14:textId="23B7AE45" w:rsidR="00F42E08" w:rsidRPr="00EC4B19" w:rsidRDefault="00F42E08" w:rsidP="00CA156B">
      <w:pPr>
        <w:jc w:val="center"/>
        <w:rPr>
          <w:b/>
          <w:bCs/>
          <w:sz w:val="28"/>
          <w:szCs w:val="28"/>
        </w:rPr>
      </w:pPr>
    </w:p>
    <w:p w14:paraId="58A55F56" w14:textId="5B475103" w:rsidR="00F42E08" w:rsidRPr="00EC4B19" w:rsidRDefault="00F42E08" w:rsidP="00CA156B">
      <w:pPr>
        <w:jc w:val="center"/>
        <w:rPr>
          <w:b/>
          <w:bCs/>
          <w:sz w:val="28"/>
          <w:szCs w:val="28"/>
        </w:rPr>
      </w:pPr>
    </w:p>
    <w:p w14:paraId="59FBDA12" w14:textId="2DE9D9A7" w:rsidR="00F42E08" w:rsidRPr="00EC4B19" w:rsidRDefault="00F42E08" w:rsidP="00CA156B">
      <w:pPr>
        <w:jc w:val="center"/>
        <w:rPr>
          <w:b/>
          <w:bCs/>
          <w:sz w:val="28"/>
          <w:szCs w:val="28"/>
        </w:rPr>
      </w:pPr>
    </w:p>
    <w:p w14:paraId="7F4FB1D5" w14:textId="2F66343D" w:rsidR="00F42E08" w:rsidRPr="00EC4B19" w:rsidRDefault="00F42E08" w:rsidP="00CA156B">
      <w:pPr>
        <w:jc w:val="center"/>
        <w:rPr>
          <w:b/>
          <w:bCs/>
          <w:sz w:val="28"/>
          <w:szCs w:val="28"/>
        </w:rPr>
      </w:pPr>
    </w:p>
    <w:p w14:paraId="7EEEC560" w14:textId="2916DD13" w:rsidR="00F42E08" w:rsidRPr="00EC4B19" w:rsidRDefault="00F42E08" w:rsidP="00CA156B">
      <w:pPr>
        <w:jc w:val="center"/>
        <w:rPr>
          <w:b/>
          <w:bCs/>
          <w:sz w:val="28"/>
          <w:szCs w:val="28"/>
        </w:rPr>
      </w:pPr>
    </w:p>
    <w:p w14:paraId="6D2BFCA3" w14:textId="4B87F825" w:rsidR="00F42E08" w:rsidRPr="00EC4B19" w:rsidRDefault="00F42E08" w:rsidP="00CA156B">
      <w:pPr>
        <w:jc w:val="center"/>
        <w:rPr>
          <w:b/>
          <w:bCs/>
          <w:sz w:val="28"/>
          <w:szCs w:val="28"/>
        </w:rPr>
      </w:pPr>
    </w:p>
    <w:p w14:paraId="3A4771E4" w14:textId="61E9187C" w:rsidR="00F42E08" w:rsidRPr="00EC4B19" w:rsidRDefault="00F42E08" w:rsidP="00CA156B">
      <w:pPr>
        <w:jc w:val="center"/>
        <w:rPr>
          <w:b/>
          <w:bCs/>
          <w:sz w:val="28"/>
          <w:szCs w:val="28"/>
        </w:rPr>
      </w:pPr>
    </w:p>
    <w:p w14:paraId="465D3306" w14:textId="007B4F31" w:rsidR="00F42E08" w:rsidRPr="00EC4B19" w:rsidRDefault="00F42E08" w:rsidP="00CA156B">
      <w:pPr>
        <w:jc w:val="center"/>
        <w:rPr>
          <w:b/>
          <w:bCs/>
          <w:sz w:val="28"/>
          <w:szCs w:val="28"/>
        </w:rPr>
      </w:pPr>
    </w:p>
    <w:p w14:paraId="1599AE65" w14:textId="43C416E2" w:rsidR="00F42E08" w:rsidRPr="00EC4B19" w:rsidRDefault="00F42E08" w:rsidP="00CA156B">
      <w:pPr>
        <w:jc w:val="center"/>
        <w:rPr>
          <w:b/>
          <w:bCs/>
          <w:sz w:val="28"/>
          <w:szCs w:val="28"/>
        </w:rPr>
      </w:pPr>
    </w:p>
    <w:p w14:paraId="54AEB84D" w14:textId="4DE13C30" w:rsidR="00F42E08" w:rsidRPr="00EC4B19" w:rsidRDefault="00F42E08" w:rsidP="00CA156B">
      <w:pPr>
        <w:jc w:val="center"/>
        <w:rPr>
          <w:b/>
          <w:bCs/>
          <w:sz w:val="28"/>
          <w:szCs w:val="28"/>
        </w:rPr>
      </w:pPr>
    </w:p>
    <w:p w14:paraId="54CECB96" w14:textId="1C6524A4" w:rsidR="00F42E08" w:rsidRPr="00EC4B19" w:rsidRDefault="00F42E08" w:rsidP="00CA156B">
      <w:pPr>
        <w:jc w:val="center"/>
        <w:rPr>
          <w:b/>
          <w:bCs/>
          <w:sz w:val="28"/>
          <w:szCs w:val="28"/>
        </w:rPr>
      </w:pPr>
    </w:p>
    <w:p w14:paraId="6F3B77AD" w14:textId="576B085B" w:rsidR="00F42E08" w:rsidRPr="00EC4B19" w:rsidRDefault="00F42E08" w:rsidP="00CA156B">
      <w:pPr>
        <w:jc w:val="center"/>
        <w:rPr>
          <w:b/>
          <w:bCs/>
          <w:sz w:val="28"/>
          <w:szCs w:val="28"/>
        </w:rPr>
      </w:pPr>
    </w:p>
    <w:p w14:paraId="402C631A" w14:textId="01E2A056" w:rsidR="00F42E08" w:rsidRPr="00EC4B19" w:rsidRDefault="00F42E08" w:rsidP="00CA156B">
      <w:pPr>
        <w:jc w:val="center"/>
        <w:rPr>
          <w:b/>
          <w:bCs/>
          <w:sz w:val="28"/>
          <w:szCs w:val="28"/>
        </w:rPr>
      </w:pPr>
    </w:p>
    <w:p w14:paraId="6E2DA615" w14:textId="68495F3A" w:rsidR="00F42E08" w:rsidRPr="00EC4B19" w:rsidRDefault="00F42E08" w:rsidP="00CA156B">
      <w:pPr>
        <w:jc w:val="center"/>
        <w:rPr>
          <w:b/>
          <w:bCs/>
          <w:sz w:val="28"/>
          <w:szCs w:val="28"/>
        </w:rPr>
      </w:pPr>
    </w:p>
    <w:p w14:paraId="61D71EB1" w14:textId="14C1585A" w:rsidR="00F42E08" w:rsidRPr="00EC4B19" w:rsidRDefault="00F42E08" w:rsidP="00CA156B">
      <w:pPr>
        <w:jc w:val="center"/>
        <w:rPr>
          <w:b/>
          <w:bCs/>
          <w:sz w:val="28"/>
          <w:szCs w:val="28"/>
        </w:rPr>
      </w:pPr>
    </w:p>
    <w:p w14:paraId="58672553" w14:textId="080FB693" w:rsidR="00F42E08" w:rsidRPr="00EC4B19" w:rsidRDefault="00F42E08" w:rsidP="00CA156B">
      <w:pPr>
        <w:jc w:val="center"/>
        <w:rPr>
          <w:b/>
          <w:bCs/>
          <w:sz w:val="28"/>
          <w:szCs w:val="28"/>
        </w:rPr>
      </w:pPr>
    </w:p>
    <w:p w14:paraId="5DDBDB93" w14:textId="56837CC1" w:rsidR="00F42E08" w:rsidRPr="00EC4B19" w:rsidRDefault="00F42E08" w:rsidP="00CA156B">
      <w:pPr>
        <w:jc w:val="center"/>
        <w:rPr>
          <w:b/>
          <w:bCs/>
          <w:sz w:val="28"/>
          <w:szCs w:val="28"/>
        </w:rPr>
      </w:pPr>
    </w:p>
    <w:p w14:paraId="0D55D69A" w14:textId="3116874C" w:rsidR="00F42E08" w:rsidRPr="00EC4B19" w:rsidRDefault="00F42E08" w:rsidP="00CA156B">
      <w:pPr>
        <w:jc w:val="center"/>
        <w:rPr>
          <w:b/>
          <w:bCs/>
          <w:sz w:val="28"/>
          <w:szCs w:val="28"/>
        </w:rPr>
      </w:pPr>
    </w:p>
    <w:p w14:paraId="48512EAC" w14:textId="77777777" w:rsidR="00F42E08" w:rsidRPr="00EC4B19" w:rsidRDefault="00F42E08" w:rsidP="00CA156B">
      <w:pPr>
        <w:jc w:val="center"/>
        <w:rPr>
          <w:b/>
          <w:bCs/>
          <w:sz w:val="28"/>
          <w:szCs w:val="28"/>
        </w:rPr>
      </w:pPr>
    </w:p>
    <w:p w14:paraId="0DBE343B" w14:textId="60F3FC14" w:rsidR="00AC7C5D" w:rsidRPr="00EC4B19" w:rsidRDefault="00AC7C5D" w:rsidP="007350AC">
      <w:pPr>
        <w:keepNext/>
        <w:jc w:val="center"/>
        <w:outlineLvl w:val="0"/>
        <w:rPr>
          <w:rFonts w:eastAsia="MS Mincho"/>
          <w:b/>
          <w:bCs/>
        </w:rPr>
      </w:pPr>
      <w:bookmarkStart w:id="1" w:name="_Toc134353489"/>
      <w:r w:rsidRPr="00EC4B19">
        <w:rPr>
          <w:rFonts w:eastAsia="MS Mincho"/>
          <w:b/>
          <w:bCs/>
        </w:rPr>
        <w:lastRenderedPageBreak/>
        <w:t>MAKROEKONOMSKA KRETANJA U 202</w:t>
      </w:r>
      <w:r w:rsidR="00695D19" w:rsidRPr="00EC4B19">
        <w:rPr>
          <w:rFonts w:eastAsia="MS Mincho"/>
          <w:b/>
          <w:bCs/>
        </w:rPr>
        <w:t>5</w:t>
      </w:r>
      <w:r w:rsidRPr="00EC4B19">
        <w:rPr>
          <w:rFonts w:eastAsia="MS Mincho"/>
          <w:b/>
          <w:bCs/>
        </w:rPr>
        <w:t>. GODINI</w:t>
      </w:r>
      <w:bookmarkEnd w:id="1"/>
    </w:p>
    <w:p w14:paraId="7C258829" w14:textId="77777777" w:rsidR="002A13AB" w:rsidRPr="002A13AB" w:rsidRDefault="002A13AB" w:rsidP="002A13AB">
      <w:pPr>
        <w:rPr>
          <w:rFonts w:eastAsia="MS Mincho"/>
        </w:rPr>
      </w:pPr>
    </w:p>
    <w:p w14:paraId="46E57A97" w14:textId="77777777" w:rsidR="002A13AB" w:rsidRPr="002A13AB" w:rsidRDefault="002A13AB" w:rsidP="002A13AB">
      <w:pPr>
        <w:spacing w:after="120"/>
        <w:rPr>
          <w:rFonts w:eastAsia="MS Mincho"/>
        </w:rPr>
      </w:pPr>
      <w:r w:rsidRPr="002A13AB">
        <w:rPr>
          <w:rFonts w:eastAsia="MS Mincho"/>
        </w:rPr>
        <w:t xml:space="preserve">Domaća gospodarska aktivnost nastavlja pokazivati visoku razinu otpornosti na geopolitičke napetosti i prigušenu ekonomsku aktivnost u </w:t>
      </w:r>
      <w:proofErr w:type="spellStart"/>
      <w:r w:rsidRPr="002A13AB">
        <w:rPr>
          <w:rFonts w:eastAsia="MS Mincho"/>
        </w:rPr>
        <w:t>europodručju</w:t>
      </w:r>
      <w:proofErr w:type="spellEnd"/>
      <w:r w:rsidRPr="002A13AB">
        <w:rPr>
          <w:rFonts w:eastAsia="MS Mincho"/>
        </w:rPr>
        <w:t xml:space="preserve"> te je i tijekom 2025. godine zabilježen nastavak rasta domaće ekonomske aktivnosti, pri čemu je realni rast </w:t>
      </w:r>
      <w:r w:rsidRPr="002A13AB">
        <w:rPr>
          <w:rFonts w:eastAsia="MS Mincho"/>
          <w:lang w:eastAsia="ja-JP"/>
        </w:rPr>
        <w:t xml:space="preserve">bruto domaćeg proizvoda (dalje u tekstu: </w:t>
      </w:r>
      <w:r w:rsidRPr="002A13AB">
        <w:rPr>
          <w:rFonts w:eastAsia="MS Mincho"/>
        </w:rPr>
        <w:t>BDP) iznosio 3,4%</w:t>
      </w:r>
      <w:r w:rsidRPr="00EC4B19">
        <w:rPr>
          <w:rFonts w:eastAsia="MS Mincho"/>
          <w:vertAlign w:val="superscript"/>
        </w:rPr>
        <w:footnoteReference w:id="1"/>
      </w:r>
      <w:r w:rsidRPr="002A13AB">
        <w:rPr>
          <w:rFonts w:eastAsia="MS Mincho"/>
        </w:rPr>
        <w:t>. U trgovini na malo u 2025. su zabilježena pozitivna kretanja potaknuta rastom zaposlenosti i raspoloživog dohotka. U 2025. je zabilježen skromniji rast broja turističkih noćenja u odnosu na prethodne godine po stopi od 1,2%. Građevinska aktivnost u 2025. nastavlja bilježiti rast već desetu godinu zaredom. Nakon dvije godine pada, industrijska proizvodnja je zabilježila međugodišnji rast od 3,8%. Podaci o kretanjima na tržištu rada ukazuju na nastavak rasta zaposlenosti i smanjenje registrirane nezaposlenosti. Prosječna inflacija se u 2025. ubrzala u odnosu na 2024. godinu te je iznosila 3,7%. Zabilježeno je povećanje udjela bruto inozemnog duga u BDP-u, koji je krajem 2025. bio 0,6 postotnih bodova veći u usporedbi s krajem 2024</w:t>
      </w:r>
      <w:bookmarkStart w:id="2" w:name="_Toc134353533"/>
      <w:r w:rsidRPr="002A13AB">
        <w:rPr>
          <w:rFonts w:eastAsia="MS Mincho"/>
        </w:rPr>
        <w:t>.</w:t>
      </w:r>
    </w:p>
    <w:p w14:paraId="6C9CC9B2" w14:textId="506E5C76" w:rsidR="002A13AB" w:rsidRPr="002A13AB" w:rsidRDefault="002A13AB" w:rsidP="002A13AB">
      <w:pPr>
        <w:spacing w:after="120"/>
        <w:rPr>
          <w:rFonts w:eastAsia="MS Mincho"/>
        </w:rPr>
      </w:pPr>
      <w:r w:rsidRPr="002A13AB">
        <w:rPr>
          <w:rFonts w:eastAsia="MS Mincho"/>
          <w:b/>
        </w:rPr>
        <w:t xml:space="preserve">Tablica </w:t>
      </w:r>
      <w:r w:rsidRPr="002A13AB">
        <w:rPr>
          <w:rFonts w:eastAsia="MS Mincho"/>
          <w:b/>
        </w:rPr>
        <w:fldChar w:fldCharType="begin"/>
      </w:r>
      <w:r w:rsidRPr="002A13AB">
        <w:rPr>
          <w:rFonts w:eastAsia="MS Mincho"/>
          <w:b/>
        </w:rPr>
        <w:instrText xml:space="preserve"> SEQ Tablica \* ARABIC </w:instrText>
      </w:r>
      <w:r w:rsidRPr="002A13AB">
        <w:rPr>
          <w:rFonts w:eastAsia="MS Mincho"/>
          <w:b/>
        </w:rPr>
        <w:fldChar w:fldCharType="separate"/>
      </w:r>
      <w:r w:rsidR="007B1350">
        <w:rPr>
          <w:rFonts w:eastAsia="MS Mincho"/>
          <w:b/>
          <w:noProof/>
        </w:rPr>
        <w:t>1</w:t>
      </w:r>
      <w:r w:rsidRPr="002A13AB">
        <w:rPr>
          <w:rFonts w:eastAsia="MS Mincho"/>
          <w:b/>
        </w:rPr>
        <w:fldChar w:fldCharType="end"/>
      </w:r>
      <w:r w:rsidR="00C31752" w:rsidRPr="00EC4B19">
        <w:rPr>
          <w:rFonts w:eastAsia="MS Mincho"/>
          <w:b/>
        </w:rPr>
        <w:t>:</w:t>
      </w:r>
      <w:r w:rsidRPr="002A13AB">
        <w:rPr>
          <w:rFonts w:eastAsia="MS Mincho"/>
          <w:b/>
        </w:rPr>
        <w:t xml:space="preserve"> Osnovni makroekonomski pokazatelji Republike Hrvatske</w:t>
      </w:r>
      <w:bookmarkEnd w:id="2"/>
      <w:r w:rsidRPr="002A13AB">
        <w:rPr>
          <w:rFonts w:eastAsia="MS Mincho"/>
          <w:b/>
        </w:rPr>
        <w:tab/>
      </w:r>
      <w:r w:rsidRPr="002A13AB">
        <w:rPr>
          <w:rFonts w:eastAsia="MS Mincho"/>
          <w:b/>
        </w:rPr>
        <w:br/>
      </w:r>
      <w:r w:rsidRPr="00EC4B19">
        <w:rPr>
          <w:rFonts w:eastAsia="MS Mincho"/>
          <w:noProof/>
        </w:rPr>
        <w:drawing>
          <wp:inline distT="0" distB="0" distL="0" distR="0" wp14:anchorId="7F564F02" wp14:editId="62ABA05C">
            <wp:extent cx="5629275" cy="3467100"/>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9275" cy="3467100"/>
                    </a:xfrm>
                    <a:prstGeom prst="rect">
                      <a:avLst/>
                    </a:prstGeom>
                    <a:noFill/>
                    <a:ln>
                      <a:noFill/>
                    </a:ln>
                  </pic:spPr>
                </pic:pic>
              </a:graphicData>
            </a:graphic>
          </wp:inline>
        </w:drawing>
      </w:r>
    </w:p>
    <w:p w14:paraId="55F29F82" w14:textId="77777777" w:rsidR="002A13AB" w:rsidRPr="002A13AB" w:rsidRDefault="002A13AB" w:rsidP="002A13AB">
      <w:pPr>
        <w:keepNext/>
        <w:spacing w:after="120"/>
        <w:jc w:val="left"/>
        <w:rPr>
          <w:rFonts w:eastAsia="MS Mincho"/>
          <w:b/>
          <w:bCs/>
          <w:sz w:val="20"/>
          <w:szCs w:val="20"/>
        </w:rPr>
      </w:pPr>
      <w:r w:rsidRPr="002A13AB">
        <w:rPr>
          <w:rFonts w:eastAsia="MS Mincho"/>
          <w:iCs/>
          <w:sz w:val="20"/>
          <w:szCs w:val="20"/>
          <w:lang w:eastAsia="en-US"/>
        </w:rPr>
        <w:t>Izvor: Državni zavod za statistiku, Hrvatska narodna banka</w:t>
      </w:r>
      <w:r w:rsidRPr="002A13AB">
        <w:rPr>
          <w:rFonts w:eastAsia="MS Mincho"/>
          <w:i/>
          <w:iCs/>
          <w:sz w:val="20"/>
          <w:szCs w:val="20"/>
          <w:lang w:eastAsia="en-US"/>
        </w:rPr>
        <w:t xml:space="preserve"> </w:t>
      </w:r>
    </w:p>
    <w:p w14:paraId="57DE2327" w14:textId="77777777" w:rsidR="002A13AB" w:rsidRPr="002A13AB" w:rsidRDefault="002A13AB" w:rsidP="002A13AB">
      <w:pPr>
        <w:rPr>
          <w:rFonts w:eastAsia="MS Mincho"/>
          <w:highlight w:val="yellow"/>
          <w:lang w:eastAsia="en-US"/>
        </w:rPr>
      </w:pPr>
    </w:p>
    <w:p w14:paraId="7FF782B4" w14:textId="77777777" w:rsidR="002A13AB" w:rsidRPr="002A13AB" w:rsidRDefault="002A13AB" w:rsidP="002A13AB">
      <w:pPr>
        <w:spacing w:after="120"/>
        <w:rPr>
          <w:rFonts w:eastAsia="MS Mincho"/>
        </w:rPr>
      </w:pPr>
      <w:r w:rsidRPr="002A13AB">
        <w:rPr>
          <w:rFonts w:eastAsia="MS Mincho"/>
          <w:lang w:eastAsia="ja-JP"/>
        </w:rPr>
        <w:t>U prvom tromjesečju 2025. ostvaren je međugodišnji realni rast BDP-a od 3,6%. Nakon toga, realni rast BDP-a se ubrzao tijekom drugog tromjesečja na 3,8%, da bi u trećem tromjesečju usporio na 2,6% te ponovno značajno ubrzao na 3,9% u posljednjem tromjesečju 2025. Opisana kretanja rezultirala su realnim rastom BDP-a od 3,4% u 2025. godini. Rast BDP-a u 2025. i dalje je predvođen rastom domaće potražnje, čiji je doprinos iznosio 4,0 postotna boda. Neto inozemna potražnja je zabilježila negativan doprinos rastu (1,1 postotni bod), a</w:t>
      </w:r>
      <w:r w:rsidRPr="002A13AB">
        <w:rPr>
          <w:rFonts w:eastAsia="MS Mincho"/>
        </w:rPr>
        <w:t xml:space="preserve"> </w:t>
      </w:r>
      <w:r w:rsidRPr="002A13AB">
        <w:rPr>
          <w:rFonts w:eastAsia="MS Mincho"/>
          <w:lang w:eastAsia="ja-JP"/>
        </w:rPr>
        <w:t xml:space="preserve">promjena zaliha pozitivan (0,5 postotnih bodova). </w:t>
      </w:r>
      <w:r w:rsidRPr="002A13AB">
        <w:rPr>
          <w:rFonts w:eastAsia="MS Mincho"/>
        </w:rPr>
        <w:t xml:space="preserve">Gledajući pojedinačne komponente s rashodne strane, najveći pozitivan doprinos rastu BDP-a u 2025. u iznosu od 1,5 postotnih bodova došao je od bruto investicija u fiksni kapital, koje su zabilježile realni rast od 6,1%. Pozitivan doprinos kretanju realnog BDP-u 2025. godini stigao je i od rasta potrošnje kućanstava od 2,5%, koje su pridonijele ukupnom rastu BDP-a s 1,4 postotna boda. Na rast potrošnje kućanstava u 2025. </w:t>
      </w:r>
      <w:r w:rsidRPr="002A13AB">
        <w:rPr>
          <w:rFonts w:eastAsia="MS Mincho"/>
        </w:rPr>
        <w:lastRenderedPageBreak/>
        <w:t xml:space="preserve">djelovali su nastavak rasta zaposlenosti i realni rast plaća. Rast državne potrošnje od 4,2% također je dao pozitivan doprinos rastu BDP-a. </w:t>
      </w:r>
    </w:p>
    <w:p w14:paraId="555E370A" w14:textId="77777777" w:rsidR="002A13AB" w:rsidRPr="002A13AB" w:rsidRDefault="002A13AB" w:rsidP="002A13AB">
      <w:pPr>
        <w:spacing w:after="120"/>
        <w:rPr>
          <w:rFonts w:eastAsia="MS Mincho"/>
          <w:lang w:eastAsia="ja-JP"/>
        </w:rPr>
      </w:pPr>
      <w:r w:rsidRPr="002A13AB">
        <w:rPr>
          <w:rFonts w:eastAsia="MS Mincho"/>
        </w:rPr>
        <w:t xml:space="preserve">Negativan doprinos kretanju realnog BDP-u 2025. stigao je od neto izvoza roba i usluga, kao posljedica snažnijeg rasta uvoza roba i usluga u odnosu na rast izvoza. Tako je uvoz roba i usluga zabilježio povećanje od 2,8% u 2025. godini, kao posljedica povećanja uvoza usluga od 8,6% te uvoza roba od 1,6%, što je rezultiralo negativnim doprinosom uvoza kretanju realnog BDP-a od 1,5 postotnih bodova. S druge strane izvoz roba i usluga je zabilježio povećanje od 0,9% (pozitivan doprinos od 0,5 postotnih bodova), kao posljedica povećanja izvoza roba od 5,0%, dok je izvoz usluga zabilježio pad od 2,6%. </w:t>
      </w:r>
    </w:p>
    <w:p w14:paraId="1A725A05" w14:textId="77777777" w:rsidR="002A13AB" w:rsidRPr="002A13AB" w:rsidRDefault="002A13AB" w:rsidP="002A13AB">
      <w:pPr>
        <w:spacing w:after="120"/>
        <w:rPr>
          <w:rFonts w:eastAsia="MS Mincho"/>
          <w:lang w:eastAsia="ja-JP"/>
        </w:rPr>
      </w:pPr>
      <w:r w:rsidRPr="002A13AB">
        <w:rPr>
          <w:rFonts w:eastAsia="MS Mincho"/>
          <w:lang w:eastAsia="ja-JP"/>
        </w:rPr>
        <w:t>Bruto domaći proizvod u tekućim cijenama iznosio je 93,0 milijardi eura u 2025. godini te je zabilježio rast od 8,2%, dok je rast deflatora BDP-a iznosio 4,7%.</w:t>
      </w:r>
    </w:p>
    <w:p w14:paraId="2FF42E0F" w14:textId="77777777" w:rsidR="002A13AB" w:rsidRPr="002A13AB" w:rsidRDefault="002A13AB" w:rsidP="002A13AB">
      <w:pPr>
        <w:spacing w:before="240" w:after="240"/>
        <w:ind w:right="57"/>
        <w:rPr>
          <w:rFonts w:eastAsia="MS Mincho"/>
        </w:rPr>
      </w:pPr>
      <w:r w:rsidRPr="002A13AB">
        <w:rPr>
          <w:rFonts w:eastAsia="MS Mincho"/>
        </w:rPr>
        <w:t xml:space="preserve">Prema obračunu bruto domaćeg proizvoda s proizvodne strane, u 2025. zabilježen je rast bruto dodane vrijednosti od 2,8%. Najveći pozitivan doprinos rastu bruto dodane vrijednosti u iznosu od 0,7 postotnih bodova stigao je od bruto dodane vrijednosti u području trgovine, prijevoza i skladištenja, smještaja, pripreme i usluživanja hrane (+2,7% rasta), a prati ga doprinos bruto dodane vrijednosti u području građevinarstva od 0,6 postotnih bodova (+7,3%). </w:t>
      </w:r>
    </w:p>
    <w:p w14:paraId="4597D0C9" w14:textId="504D44DD" w:rsidR="002A13AB" w:rsidRPr="002A13AB" w:rsidRDefault="002A13AB" w:rsidP="002A13AB">
      <w:pPr>
        <w:keepNext/>
        <w:spacing w:after="120"/>
        <w:rPr>
          <w:rFonts w:eastAsia="MS Mincho"/>
          <w:bCs/>
        </w:rPr>
      </w:pPr>
      <w:r w:rsidRPr="002A13AB">
        <w:rPr>
          <w:rFonts w:eastAsia="MS Mincho"/>
          <w:b/>
          <w:bCs/>
        </w:rPr>
        <w:t>Grafikon 1</w:t>
      </w:r>
      <w:r w:rsidR="00C31752" w:rsidRPr="00EC4B19">
        <w:rPr>
          <w:rFonts w:eastAsia="MS Mincho"/>
          <w:b/>
          <w:bCs/>
        </w:rPr>
        <w:t>:</w:t>
      </w:r>
      <w:r w:rsidRPr="002A13AB">
        <w:rPr>
          <w:rFonts w:eastAsia="MS Mincho"/>
          <w:b/>
          <w:bCs/>
        </w:rPr>
        <w:t xml:space="preserve"> Realni rast bruto domaćeg proizvoda, u %</w:t>
      </w:r>
      <w:r w:rsidRPr="002A13AB">
        <w:rPr>
          <w:rFonts w:eastAsia="MS Mincho"/>
          <w:b/>
          <w:bCs/>
        </w:rPr>
        <w:tab/>
      </w:r>
      <w:r w:rsidRPr="002A13AB">
        <w:rPr>
          <w:rFonts w:eastAsia="MS Mincho"/>
          <w:b/>
          <w:bCs/>
        </w:rPr>
        <w:br/>
      </w:r>
      <w:r w:rsidRPr="00EC4B19">
        <w:rPr>
          <w:rFonts w:eastAsia="MS Mincho"/>
          <w:b/>
          <w:bCs/>
          <w:noProof/>
          <w:sz w:val="20"/>
          <w:szCs w:val="20"/>
        </w:rPr>
        <w:drawing>
          <wp:inline distT="0" distB="0" distL="0" distR="0" wp14:anchorId="2D21FB23" wp14:editId="1E4CBBB7">
            <wp:extent cx="5753100" cy="22479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2247900"/>
                    </a:xfrm>
                    <a:prstGeom prst="rect">
                      <a:avLst/>
                    </a:prstGeom>
                    <a:noFill/>
                    <a:ln>
                      <a:noFill/>
                    </a:ln>
                  </pic:spPr>
                </pic:pic>
              </a:graphicData>
            </a:graphic>
          </wp:inline>
        </w:drawing>
      </w:r>
    </w:p>
    <w:p w14:paraId="6C3198F7" w14:textId="77777777" w:rsidR="002A13AB" w:rsidRPr="002A13AB" w:rsidRDefault="002A13AB" w:rsidP="002A13AB">
      <w:pPr>
        <w:keepNext/>
        <w:spacing w:after="120"/>
        <w:rPr>
          <w:rFonts w:eastAsia="MS Mincho"/>
          <w:b/>
          <w:bCs/>
          <w:sz w:val="20"/>
          <w:szCs w:val="20"/>
        </w:rPr>
      </w:pPr>
      <w:r w:rsidRPr="002A13AB">
        <w:rPr>
          <w:rFonts w:eastAsia="MS Mincho"/>
          <w:bCs/>
          <w:sz w:val="20"/>
          <w:szCs w:val="20"/>
        </w:rPr>
        <w:t>Izvor: Državni zavod za statistiku</w:t>
      </w:r>
    </w:p>
    <w:p w14:paraId="45C635CA" w14:textId="77777777" w:rsidR="002A13AB" w:rsidRPr="002A13AB" w:rsidRDefault="002A13AB" w:rsidP="002A13AB">
      <w:pPr>
        <w:rPr>
          <w:rFonts w:eastAsia="MS Mincho"/>
          <w:highlight w:val="yellow"/>
        </w:rPr>
      </w:pPr>
    </w:p>
    <w:p w14:paraId="600A5C2D" w14:textId="77777777" w:rsidR="002A13AB" w:rsidRPr="002A13AB" w:rsidRDefault="002A13AB" w:rsidP="002A13AB">
      <w:pPr>
        <w:rPr>
          <w:rFonts w:eastAsia="MS Mincho"/>
        </w:rPr>
      </w:pPr>
      <w:r w:rsidRPr="002A13AB">
        <w:rPr>
          <w:rFonts w:eastAsia="MS Mincho"/>
        </w:rPr>
        <w:t>U usporedbi s makroekonomskim projekcijama iz Izmjena i dopuna proračuna za 2025. godinu Vlade RH (iz studenog prošle godine), u 2025. godini ostvaren je snažniji realni rast BDP-a. Naime, Izmjenama i dopunama proračuna dana je projekcija realnog rasta bruto domaćeg proizvoda od 3,2% u 2025. godini, što je za 0,2 postotna boda niže od ostvarenog rasta ekonomske aktivnosti. Promatrajući komponente s rashodne strane, bruto investicije u fiksni kapital ostvarile su nešto veći doprinos rastu BDP-a (za 0,3 postotna boda), a osobna i državna potrošnja nešto niži (za 0,6 postotna boda), dok su ostale komponente ostvarile doprinose rastu BDP-a približne projekcijama Ministarstva financija. Domaća potražnja tako je zabilježila veći doprinos rastu u odnosu na projekcije iz studenog, doprinos kategorije neto izvoza roba i usluga bio je približan projekcijama Ministarstva financija, a kategorija promjena zaliha ostvarila je blago izraženiji pozitivan doprinos kretanju realnog BDP-a u odnosu na onaj u projekcijama (za 0,5 postotnih bodova).</w:t>
      </w:r>
    </w:p>
    <w:p w14:paraId="087F035E" w14:textId="77777777" w:rsidR="002A13AB" w:rsidRPr="002A13AB" w:rsidRDefault="002A13AB" w:rsidP="002A13AB">
      <w:pPr>
        <w:rPr>
          <w:rFonts w:eastAsia="MS Mincho"/>
        </w:rPr>
      </w:pPr>
    </w:p>
    <w:p w14:paraId="0BB0D889" w14:textId="77777777" w:rsidR="002A13AB" w:rsidRPr="002A13AB" w:rsidRDefault="002A13AB" w:rsidP="002A13AB">
      <w:pPr>
        <w:rPr>
          <w:rFonts w:eastAsia="MS Mincho"/>
        </w:rPr>
      </w:pPr>
      <w:r w:rsidRPr="002A13AB">
        <w:rPr>
          <w:rFonts w:eastAsia="MS Mincho"/>
        </w:rPr>
        <w:t xml:space="preserve">Broj registriranih nezaposlenih kod Hrvatskog zavoda za zapošljavanje je i tijekom 2025. godine nastavio padati te je iznosio u prosjeku 81 tisuću, što je 14,8% manje u usporedbi s 2024. </w:t>
      </w:r>
      <w:r w:rsidRPr="002A13AB">
        <w:rPr>
          <w:rFonts w:eastAsia="MS Mincho"/>
        </w:rPr>
        <w:lastRenderedPageBreak/>
        <w:t>Prosječna administrativna stopa nezaposlenosti iznosila je 4,4% u 2025. godini, što je 0,8 postotnih bodova niže nego u 2024. Podaci o osiguranicima Hrvatskog zavoda za mirovinsko osiguranje pokazuju međugodišnji porast broja osiguranika od 2,5% u 2025. godini.</w:t>
      </w:r>
    </w:p>
    <w:p w14:paraId="1A6FB9C4" w14:textId="77777777" w:rsidR="002A13AB" w:rsidRPr="002A13AB" w:rsidRDefault="002A13AB" w:rsidP="002A13AB">
      <w:pPr>
        <w:rPr>
          <w:rFonts w:eastAsia="MS Mincho"/>
          <w:highlight w:val="yellow"/>
        </w:rPr>
      </w:pPr>
    </w:p>
    <w:p w14:paraId="4B365E4F" w14:textId="77777777" w:rsidR="002A13AB" w:rsidRPr="002A13AB" w:rsidRDefault="002A13AB" w:rsidP="002A13AB">
      <w:pPr>
        <w:rPr>
          <w:rFonts w:eastAsia="MS Mincho"/>
        </w:rPr>
      </w:pPr>
      <w:r w:rsidRPr="002A13AB">
        <w:rPr>
          <w:rFonts w:eastAsia="MS Mincho"/>
        </w:rPr>
        <w:t xml:space="preserve">Tijekom 2025. godine nastavljen je snažan nominalni rast plaća potaknut pozitivnim gospodarskim kretanjima i nedostatkom radne snage u pojedinim djelatnostima. Nadalje, ubrzavanje stope inflacije utjecalo je na usporavanje njihovog realnog rasta. Prosječna mjesečna bruto plaća u 2025. godini iznosila je 2.016 EUR te je nominalno povećana 10,7%, a realno 6,8% u odnosu na 2024. Prosječna mjesečna neto plaća iznosila je 1.449 EUR u 2025., bilježeći nominalni rast od 9,9% te realni rast od 6,0% u odnosu na 2024. godinu. </w:t>
      </w:r>
    </w:p>
    <w:p w14:paraId="7FCCC8D3" w14:textId="77777777" w:rsidR="002A13AB" w:rsidRPr="002A13AB" w:rsidRDefault="002A13AB" w:rsidP="002A13AB">
      <w:pPr>
        <w:rPr>
          <w:rFonts w:eastAsia="MS Mincho"/>
          <w:highlight w:val="yellow"/>
        </w:rPr>
      </w:pPr>
    </w:p>
    <w:p w14:paraId="6E413578" w14:textId="77777777" w:rsidR="002A13AB" w:rsidRPr="002A13AB" w:rsidRDefault="002A13AB" w:rsidP="002A13AB">
      <w:pPr>
        <w:rPr>
          <w:rFonts w:eastAsia="MS Mincho"/>
        </w:rPr>
      </w:pPr>
      <w:r w:rsidRPr="002A13AB">
        <w:rPr>
          <w:rFonts w:eastAsia="MS Mincho"/>
        </w:rPr>
        <w:t>Inflacija, mjerena indeksom potrošačkih cijena, tijekom 2025. godine zabilježila je prosječnu razinu od 3,7%, ubrzavši sa 3,0% zabilježenih u 2024. U smjeru međugodišnjeg rasta potrošačkih cijena najjače je djelovao rast cijena usluga (+6,2%) te hrane, pića i duhana (+4,9%). Ukoliko se iz indeksa potrošačkih cijena isključe energija, hrana, pića i duhan, u 2025. se bilježi međugodišnji porast preostalih komponenti od 3,1%.</w:t>
      </w:r>
    </w:p>
    <w:p w14:paraId="56AD2F4F" w14:textId="77777777" w:rsidR="002A13AB" w:rsidRPr="002A13AB" w:rsidRDefault="002A13AB" w:rsidP="002A13AB">
      <w:pPr>
        <w:rPr>
          <w:rFonts w:eastAsia="MS Mincho"/>
          <w:highlight w:val="yellow"/>
        </w:rPr>
      </w:pPr>
    </w:p>
    <w:p w14:paraId="4CFCC722" w14:textId="331CBB7D" w:rsidR="002A13AB" w:rsidRPr="002A13AB" w:rsidRDefault="002A13AB" w:rsidP="002A13AB">
      <w:pPr>
        <w:keepNext/>
        <w:spacing w:before="120" w:after="120"/>
        <w:rPr>
          <w:rFonts w:eastAsia="MS Mincho"/>
          <w:bCs/>
          <w:sz w:val="20"/>
          <w:szCs w:val="20"/>
        </w:rPr>
      </w:pPr>
      <w:r w:rsidRPr="002A13AB">
        <w:rPr>
          <w:rFonts w:eastAsia="MS Mincho"/>
          <w:b/>
          <w:bCs/>
        </w:rPr>
        <w:t>Grafikon 2</w:t>
      </w:r>
      <w:r w:rsidR="00C31752" w:rsidRPr="00EC4B19">
        <w:rPr>
          <w:rFonts w:eastAsia="MS Mincho"/>
          <w:b/>
          <w:bCs/>
        </w:rPr>
        <w:t>:</w:t>
      </w:r>
      <w:r w:rsidRPr="002A13AB">
        <w:rPr>
          <w:rFonts w:eastAsia="MS Mincho"/>
          <w:b/>
          <w:bCs/>
        </w:rPr>
        <w:t xml:space="preserve"> Indeks potrošačkih cijena</w:t>
      </w:r>
      <w:r w:rsidRPr="002A13AB">
        <w:rPr>
          <w:rFonts w:eastAsia="MS Mincho"/>
          <w:b/>
          <w:bCs/>
        </w:rPr>
        <w:tab/>
      </w:r>
      <w:r w:rsidRPr="002A13AB">
        <w:rPr>
          <w:rFonts w:eastAsia="MS Mincho"/>
          <w:b/>
          <w:bCs/>
        </w:rPr>
        <w:br/>
      </w:r>
      <w:r w:rsidRPr="00EC4B19">
        <w:rPr>
          <w:rFonts w:eastAsia="MS Mincho"/>
          <w:b/>
          <w:bCs/>
          <w:noProof/>
          <w:sz w:val="20"/>
          <w:szCs w:val="20"/>
        </w:rPr>
        <w:drawing>
          <wp:inline distT="0" distB="0" distL="0" distR="0" wp14:anchorId="0BAC277D" wp14:editId="1A890FEC">
            <wp:extent cx="5753100" cy="22479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2247900"/>
                    </a:xfrm>
                    <a:prstGeom prst="rect">
                      <a:avLst/>
                    </a:prstGeom>
                    <a:noFill/>
                    <a:ln>
                      <a:noFill/>
                    </a:ln>
                  </pic:spPr>
                </pic:pic>
              </a:graphicData>
            </a:graphic>
          </wp:inline>
        </w:drawing>
      </w:r>
      <w:r w:rsidRPr="002A13AB">
        <w:rPr>
          <w:rFonts w:eastAsia="MS Mincho"/>
          <w:bCs/>
          <w:sz w:val="20"/>
          <w:szCs w:val="20"/>
        </w:rPr>
        <w:t xml:space="preserve">Izvor: Državni zavod za statistiku </w:t>
      </w:r>
    </w:p>
    <w:p w14:paraId="1870509A" w14:textId="77777777" w:rsidR="002A13AB" w:rsidRPr="002A13AB" w:rsidRDefault="002A13AB" w:rsidP="002A13AB">
      <w:pPr>
        <w:spacing w:before="240"/>
        <w:rPr>
          <w:rFonts w:eastAsia="MS Mincho"/>
        </w:rPr>
      </w:pPr>
      <w:r w:rsidRPr="002A13AB">
        <w:rPr>
          <w:rFonts w:eastAsia="MS Mincho"/>
        </w:rPr>
        <w:t>Prema preliminarnim podacima, u 2025. godini zabilježen je negativan saldo tekućeg i kapitalnog računa bilance plaćanja u iznosu od 1,5 milijardi eura, odnosno 1,6% BDP-a, što predstavlja značajno pogoršanje salda za 0,8 milijardi eura u odnosu na 2024. Najveći doprinos navedenom pogoršanju salda ostvaren je smanjenjem salda na tekućem računu, uslijed osjetnog pogoršanja salda primarnog dohotka, kao i izraženijeg negativnog salda roba. Prihodi od turizma u 2025. iznosili su 15,3 milijarde eura, što predstavlja porast od 1,9% u usporedbi s 2024. godinom.</w:t>
      </w:r>
    </w:p>
    <w:p w14:paraId="27D0D0FB" w14:textId="58439241" w:rsidR="002A13AB" w:rsidRPr="002A13AB" w:rsidRDefault="002A13AB" w:rsidP="002A13AB">
      <w:pPr>
        <w:rPr>
          <w:rFonts w:eastAsia="MS Mincho"/>
        </w:rPr>
      </w:pPr>
      <w:r w:rsidRPr="002A13AB">
        <w:rPr>
          <w:rFonts w:eastAsia="MS Mincho"/>
          <w:b/>
        </w:rPr>
        <w:lastRenderedPageBreak/>
        <w:t>Grafikon 3: Tekući i kapitalni račun platne bilance</w:t>
      </w:r>
      <w:r w:rsidRPr="002A13AB">
        <w:rPr>
          <w:rFonts w:eastAsia="MS Mincho"/>
          <w:b/>
        </w:rPr>
        <w:tab/>
      </w:r>
      <w:r w:rsidRPr="002A13AB">
        <w:rPr>
          <w:rFonts w:eastAsia="MS Mincho"/>
          <w:b/>
        </w:rPr>
        <w:br/>
      </w:r>
      <w:r w:rsidRPr="00EC4B19">
        <w:rPr>
          <w:rFonts w:eastAsia="MS Mincho"/>
          <w:noProof/>
        </w:rPr>
        <w:drawing>
          <wp:inline distT="0" distB="0" distL="0" distR="0" wp14:anchorId="66739B9B" wp14:editId="0913D0F2">
            <wp:extent cx="5762625" cy="23622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2362200"/>
                    </a:xfrm>
                    <a:prstGeom prst="rect">
                      <a:avLst/>
                    </a:prstGeom>
                    <a:noFill/>
                    <a:ln>
                      <a:noFill/>
                    </a:ln>
                  </pic:spPr>
                </pic:pic>
              </a:graphicData>
            </a:graphic>
          </wp:inline>
        </w:drawing>
      </w:r>
    </w:p>
    <w:p w14:paraId="10EDE708" w14:textId="77777777" w:rsidR="002A13AB" w:rsidRPr="002A13AB" w:rsidRDefault="002A13AB" w:rsidP="002A13AB">
      <w:pPr>
        <w:spacing w:after="120"/>
        <w:rPr>
          <w:rFonts w:eastAsia="MS Mincho"/>
          <w:bCs/>
          <w:iCs/>
          <w:sz w:val="20"/>
          <w:shd w:val="clear" w:color="auto" w:fill="FFFFFF"/>
        </w:rPr>
      </w:pPr>
      <w:r w:rsidRPr="002A13AB">
        <w:rPr>
          <w:rFonts w:eastAsia="MS Mincho"/>
          <w:bCs/>
          <w:iCs/>
          <w:sz w:val="20"/>
          <w:shd w:val="clear" w:color="auto" w:fill="FFFFFF"/>
        </w:rPr>
        <w:t xml:space="preserve">Izvor: </w:t>
      </w:r>
      <w:r w:rsidRPr="002A13AB">
        <w:rPr>
          <w:rFonts w:eastAsia="MS Mincho"/>
          <w:sz w:val="20"/>
          <w:lang w:eastAsia="en-US"/>
        </w:rPr>
        <w:t>Hrvatska narodna banka</w:t>
      </w:r>
    </w:p>
    <w:p w14:paraId="11C4DA14" w14:textId="77777777" w:rsidR="002A13AB" w:rsidRPr="002A13AB" w:rsidRDefault="002A13AB" w:rsidP="002A13AB">
      <w:pPr>
        <w:rPr>
          <w:rFonts w:eastAsia="MS Mincho"/>
        </w:rPr>
      </w:pPr>
    </w:p>
    <w:p w14:paraId="47EEDF45" w14:textId="77777777" w:rsidR="002A13AB" w:rsidRPr="002A13AB" w:rsidRDefault="002A13AB" w:rsidP="002A13AB">
      <w:pPr>
        <w:rPr>
          <w:rFonts w:eastAsia="MS Mincho"/>
        </w:rPr>
      </w:pPr>
      <w:r w:rsidRPr="002A13AB">
        <w:rPr>
          <w:rFonts w:eastAsia="MS Mincho"/>
        </w:rPr>
        <w:t xml:space="preserve">U 2025. godini na kapitalnom računu bilance plaćanja je zabilježeno povećanje pozitivnog salda u odnosu na prethodnu godinu. Istovremeno, na financijskom računu bilance plaćanja zabilježen je neto priljev kapitala, odnosno povećanje neto inozemnih obveza domaćih sektora od 2,7 milijardi eura. </w:t>
      </w:r>
    </w:p>
    <w:p w14:paraId="31F84823" w14:textId="77777777" w:rsidR="002A13AB" w:rsidRPr="002A13AB" w:rsidRDefault="002A13AB" w:rsidP="002A13AB">
      <w:pPr>
        <w:rPr>
          <w:rFonts w:eastAsia="MS Mincho"/>
          <w:highlight w:val="yellow"/>
        </w:rPr>
      </w:pPr>
    </w:p>
    <w:p w14:paraId="1CF43A0A" w14:textId="77777777" w:rsidR="002A13AB" w:rsidRPr="002A13AB" w:rsidRDefault="002A13AB" w:rsidP="002A13AB">
      <w:pPr>
        <w:rPr>
          <w:rFonts w:eastAsia="MS Mincho"/>
        </w:rPr>
      </w:pPr>
      <w:r w:rsidRPr="002A13AB">
        <w:rPr>
          <w:rFonts w:eastAsia="MS Mincho"/>
        </w:rPr>
        <w:t>Bruto inozemni dug krajem 2025. iznosio je 62,2 milijarde eura, što je 9,1%, odnosno 5,2 milijarde eura više u odnosu na kraj 2024. godine. Njegovom međugodišnjem povećanju najviše je doprinijelo povećanje duga drugih monetarnih financijskih institucija. Brži rast duga u odnosu na rast BDP-a u 2025. rezultirali su neznatnim pogoršanjem relativnog pokazatelja bruto inozemne zaduženosti, koji je krajem 2025. iznosio 66,9% BDP-a, što je 0,6 postotnih bodova više u usporedbi s krajem 2024. godine.</w:t>
      </w:r>
    </w:p>
    <w:p w14:paraId="64EA92E7" w14:textId="77777777" w:rsidR="00494205" w:rsidRPr="00EC4B19" w:rsidRDefault="00494205" w:rsidP="00494205">
      <w:pPr>
        <w:rPr>
          <w:rFonts w:eastAsia="MS Mincho"/>
        </w:rPr>
      </w:pPr>
    </w:p>
    <w:p w14:paraId="6814EC52" w14:textId="77777777" w:rsidR="00695D19" w:rsidRPr="00EC4B19" w:rsidRDefault="00695D19">
      <w:pPr>
        <w:spacing w:after="160" w:line="259" w:lineRule="auto"/>
        <w:jc w:val="left"/>
        <w:rPr>
          <w:b/>
        </w:rPr>
      </w:pPr>
      <w:r w:rsidRPr="00EC4B19">
        <w:rPr>
          <w:b/>
        </w:rPr>
        <w:br w:type="page"/>
      </w:r>
    </w:p>
    <w:p w14:paraId="01A5CE0C" w14:textId="2DCB374A" w:rsidR="00C05CBE" w:rsidRPr="00EC4B19" w:rsidRDefault="00C05CBE" w:rsidP="007350AC">
      <w:pPr>
        <w:jc w:val="center"/>
        <w:rPr>
          <w:b/>
        </w:rPr>
      </w:pPr>
      <w:r w:rsidRPr="00EC4B19">
        <w:rPr>
          <w:b/>
        </w:rPr>
        <w:lastRenderedPageBreak/>
        <w:t>PRIHODI DRŽAVNOG PRORAČUNA</w:t>
      </w:r>
    </w:p>
    <w:p w14:paraId="5079977D" w14:textId="77777777" w:rsidR="00F927C2" w:rsidRPr="00F927C2" w:rsidRDefault="00F927C2" w:rsidP="00F927C2">
      <w:pPr>
        <w:jc w:val="left"/>
        <w:rPr>
          <w:sz w:val="28"/>
          <w:szCs w:val="28"/>
        </w:rPr>
      </w:pPr>
    </w:p>
    <w:p w14:paraId="63B57006" w14:textId="77777777" w:rsidR="00F927C2" w:rsidRPr="00F927C2" w:rsidRDefault="00F927C2" w:rsidP="00F927C2">
      <w:pPr>
        <w:spacing w:after="120"/>
        <w:rPr>
          <w:sz w:val="22"/>
          <w:szCs w:val="22"/>
        </w:rPr>
      </w:pPr>
      <w:r w:rsidRPr="00F927C2">
        <w:t xml:space="preserve">Na ostvarenje prihoda državnog proračuna u 2025. godini utjecala su pozitivna makroekonomska kretanja u gospodarstvu, fiskalni učinci porezne reforme koja je stupila na snagu 1. siječnja 2025., kao i paket mjera koje je Vlada donijela za pomoć kućanstvima i gospodarstvu u vrijeme inflatornih pritisaka. </w:t>
      </w:r>
    </w:p>
    <w:p w14:paraId="4297794F" w14:textId="77777777" w:rsidR="00F927C2" w:rsidRPr="00F927C2" w:rsidRDefault="00F927C2" w:rsidP="00F927C2">
      <w:pPr>
        <w:spacing w:after="120"/>
      </w:pPr>
      <w:r w:rsidRPr="00F927C2">
        <w:t xml:space="preserve">Izmjenom Zakona o PDV-u podignut je prag za ulazak u sustav PDV-a s 40.000 na 50.000 eura. Izmjenama Zakona o doprinosima, poslodavcima je ukinuto oslobođenje od obveze plaćanja doprinosa u trajanju do 5 godina za zdravstveno osiguranje mladih zaposlenika do 30 godina. Međutim, i dalje je ostalo na snazi oslobođenje od doprinosa za obvezno zdravstveno osiguranje na plaću radnika koji se prvi put zapošljava (osoba bez radnog staža) do jedne godine. Osim toga, od 1. srpnja 2025. godine povećane su i trošarine na duhanske prerađevine i duhanske proizvode. </w:t>
      </w:r>
    </w:p>
    <w:p w14:paraId="4815B174" w14:textId="77777777" w:rsidR="00F927C2" w:rsidRPr="00F927C2" w:rsidRDefault="00F927C2" w:rsidP="00F927C2">
      <w:pPr>
        <w:spacing w:after="120"/>
      </w:pPr>
      <w:r w:rsidRPr="00F927C2">
        <w:t xml:space="preserve">Značajan učinak na prihode proračuna imala su i sredstva pomoći institucija i tijela EU. To se ponajprije odnosi na sredstva iz novog Višegodišnjeg financijskog okvira 2021. – 2027. te iz Mehanizma za oporavak i otpornost. </w:t>
      </w:r>
    </w:p>
    <w:p w14:paraId="03457C3F" w14:textId="77777777" w:rsidR="00F927C2" w:rsidRPr="00F927C2" w:rsidRDefault="00F927C2" w:rsidP="00F927C2">
      <w:pPr>
        <w:spacing w:after="120"/>
      </w:pPr>
      <w:r w:rsidRPr="00F927C2">
        <w:t xml:space="preserve">Ukupni prihodi državnog proračuna u 2025. godini ostvareni su u iznosu od 32,6 milijardi eura, što je 1,2% manje od plana, dok su u usporedbi s prethodnom godinom povećani za 6,8%. </w:t>
      </w:r>
    </w:p>
    <w:p w14:paraId="1BBC2CD8" w14:textId="77777777" w:rsidR="00F927C2" w:rsidRPr="00F927C2" w:rsidRDefault="00F927C2" w:rsidP="00F927C2">
      <w:pPr>
        <w:spacing w:after="120"/>
      </w:pPr>
    </w:p>
    <w:p w14:paraId="1D11178A" w14:textId="06093640" w:rsidR="00F927C2" w:rsidRPr="00F927C2" w:rsidRDefault="00F927C2" w:rsidP="00F927C2">
      <w:pPr>
        <w:spacing w:after="120"/>
        <w:jc w:val="left"/>
        <w:rPr>
          <w:b/>
        </w:rPr>
      </w:pPr>
      <w:r w:rsidRPr="00F927C2">
        <w:rPr>
          <w:b/>
        </w:rPr>
        <w:t xml:space="preserve">Tablica </w:t>
      </w:r>
      <w:r w:rsidRPr="00EC4B19">
        <w:rPr>
          <w:b/>
        </w:rPr>
        <w:t>2:</w:t>
      </w:r>
      <w:r w:rsidRPr="00F927C2">
        <w:rPr>
          <w:b/>
        </w:rPr>
        <w:t xml:space="preserve"> Prihodi državnog proračuna u 2024. i 2025. godini</w:t>
      </w:r>
    </w:p>
    <w:p w14:paraId="7576A7B6" w14:textId="7BB8411A" w:rsidR="00F927C2" w:rsidRPr="00F927C2" w:rsidRDefault="007B1350" w:rsidP="00F927C2">
      <w:pPr>
        <w:spacing w:after="120"/>
        <w:jc w:val="left"/>
      </w:pPr>
      <w:r w:rsidRPr="007B1350">
        <w:rPr>
          <w:noProof/>
        </w:rPr>
        <w:drawing>
          <wp:inline distT="0" distB="0" distL="0" distR="0" wp14:anchorId="6778ADAF" wp14:editId="3031183A">
            <wp:extent cx="5760720" cy="4124398"/>
            <wp:effectExtent l="0" t="0" r="0" b="952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124398"/>
                    </a:xfrm>
                    <a:prstGeom prst="rect">
                      <a:avLst/>
                    </a:prstGeom>
                    <a:noFill/>
                    <a:ln>
                      <a:noFill/>
                    </a:ln>
                  </pic:spPr>
                </pic:pic>
              </a:graphicData>
            </a:graphic>
          </wp:inline>
        </w:drawing>
      </w:r>
    </w:p>
    <w:p w14:paraId="640CECBF" w14:textId="1984E312" w:rsidR="00F927C2" w:rsidRDefault="00F927C2" w:rsidP="00F927C2">
      <w:pPr>
        <w:spacing w:after="120"/>
        <w:jc w:val="left"/>
      </w:pPr>
    </w:p>
    <w:p w14:paraId="1A07E8C8" w14:textId="77777777" w:rsidR="006D5ECD" w:rsidRPr="00EC4B19" w:rsidRDefault="006D5ECD" w:rsidP="00F927C2">
      <w:pPr>
        <w:spacing w:after="120"/>
        <w:jc w:val="left"/>
      </w:pPr>
    </w:p>
    <w:p w14:paraId="4D04FF63" w14:textId="77777777" w:rsidR="00302AA1" w:rsidRPr="00F927C2" w:rsidRDefault="00302AA1" w:rsidP="00F927C2">
      <w:pPr>
        <w:spacing w:after="120"/>
        <w:jc w:val="left"/>
      </w:pPr>
    </w:p>
    <w:p w14:paraId="5EE35080" w14:textId="77777777" w:rsidR="00F927C2" w:rsidRPr="00F927C2" w:rsidRDefault="00F927C2" w:rsidP="00F927C2">
      <w:pPr>
        <w:jc w:val="left"/>
        <w:rPr>
          <w:b/>
          <w:bCs/>
          <w:iCs/>
          <w:u w:val="single"/>
        </w:rPr>
      </w:pPr>
      <w:r w:rsidRPr="00F927C2">
        <w:rPr>
          <w:b/>
          <w:bCs/>
          <w:iCs/>
          <w:u w:val="single"/>
        </w:rPr>
        <w:lastRenderedPageBreak/>
        <w:t>Prihodi poslovanja</w:t>
      </w:r>
    </w:p>
    <w:p w14:paraId="519414AB" w14:textId="77777777" w:rsidR="00F927C2" w:rsidRPr="00F927C2" w:rsidRDefault="00F927C2" w:rsidP="00F927C2">
      <w:pPr>
        <w:rPr>
          <w:rFonts w:eastAsia="Calibri"/>
        </w:rPr>
      </w:pPr>
    </w:p>
    <w:p w14:paraId="38E9B99D" w14:textId="77777777" w:rsidR="00F927C2" w:rsidRPr="00F927C2" w:rsidRDefault="00F927C2" w:rsidP="00F927C2">
      <w:pPr>
        <w:spacing w:after="120" w:line="276" w:lineRule="auto"/>
        <w:rPr>
          <w:rFonts w:eastAsia="Calibri"/>
        </w:rPr>
      </w:pPr>
      <w:r w:rsidRPr="00F927C2">
        <w:rPr>
          <w:rFonts w:eastAsia="Calibri"/>
        </w:rPr>
        <w:t xml:space="preserve">Prihodi poslovanja u 2025. godini ostvareni su u iznosu od 32,5 milijardi eura, pri čemu bilježe međugodišnji rast od 7,4%. </w:t>
      </w:r>
      <w:r w:rsidRPr="00F927C2">
        <w:t xml:space="preserve">Njihova najznačajnija kategorija su </w:t>
      </w:r>
      <w:r w:rsidRPr="00F927C2">
        <w:rPr>
          <w:bCs/>
          <w:iCs/>
        </w:rPr>
        <w:t>porezni prihodi, s udjelom od 56,2%,</w:t>
      </w:r>
      <w:r w:rsidRPr="00F927C2">
        <w:t xml:space="preserve"> a s</w:t>
      </w:r>
      <w:r w:rsidRPr="00F927C2">
        <w:rPr>
          <w:rFonts w:eastAsia="Calibri"/>
        </w:rPr>
        <w:t xml:space="preserve">lijede ih prihodi od doprinosa s udjelom od 17,9%, dok se preostali dio odnosi na pomoći, prihode od imovine, prihode od upravnih i administrativnih pristojbi i pristojbi po posebnim propisima i naknadama, prihode iz nadležnog proračuna i od HZZO-a temeljem ugovornih obveza, kazne te ostale prihode. </w:t>
      </w:r>
    </w:p>
    <w:p w14:paraId="79829F89" w14:textId="77777777" w:rsidR="00F927C2" w:rsidRPr="00F927C2" w:rsidRDefault="00F927C2" w:rsidP="00F927C2">
      <w:pPr>
        <w:spacing w:line="276" w:lineRule="auto"/>
      </w:pPr>
    </w:p>
    <w:p w14:paraId="232F535E" w14:textId="77777777" w:rsidR="00F927C2" w:rsidRPr="00F927C2" w:rsidRDefault="00F927C2" w:rsidP="00F927C2">
      <w:pPr>
        <w:spacing w:line="276" w:lineRule="auto"/>
        <w:rPr>
          <w:rFonts w:eastAsia="Calibri"/>
        </w:rPr>
      </w:pPr>
      <w:r w:rsidRPr="00F927C2">
        <w:rPr>
          <w:b/>
          <w:bCs/>
          <w:iCs/>
        </w:rPr>
        <w:t>Porezni prihodi</w:t>
      </w:r>
      <w:r w:rsidRPr="00F927C2">
        <w:t xml:space="preserve"> tijekom 2025. godine prikupljeni su u iznosu od 18,3 milijarde eura, čime su </w:t>
      </w:r>
      <w:r w:rsidRPr="00F927C2">
        <w:rPr>
          <w:rFonts w:eastAsia="Calibri"/>
        </w:rPr>
        <w:t xml:space="preserve">zabilježili međugodišnje povećanje od 4,5%, a ostvareni su za 1,1% više od planiranog iznosa. </w:t>
      </w:r>
    </w:p>
    <w:p w14:paraId="699DF5B8" w14:textId="77777777" w:rsidR="00F927C2" w:rsidRPr="00F927C2" w:rsidRDefault="00F927C2" w:rsidP="00F927C2">
      <w:pPr>
        <w:spacing w:line="276" w:lineRule="auto"/>
        <w:jc w:val="left"/>
        <w:rPr>
          <w:bCs/>
          <w:iCs/>
        </w:rPr>
      </w:pPr>
    </w:p>
    <w:p w14:paraId="6BE87300" w14:textId="77777777" w:rsidR="00F927C2" w:rsidRPr="00F927C2" w:rsidRDefault="00F927C2" w:rsidP="00F927C2">
      <w:pPr>
        <w:spacing w:line="276" w:lineRule="auto"/>
        <w:jc w:val="left"/>
        <w:rPr>
          <w:b/>
          <w:bCs/>
          <w:i/>
          <w:iCs/>
        </w:rPr>
      </w:pPr>
      <w:r w:rsidRPr="00F927C2">
        <w:rPr>
          <w:b/>
          <w:bCs/>
          <w:i/>
          <w:iCs/>
        </w:rPr>
        <w:t>Prihod od poreza na dobit</w:t>
      </w:r>
    </w:p>
    <w:p w14:paraId="4F90BB10" w14:textId="77777777" w:rsidR="00F927C2" w:rsidRPr="00F927C2" w:rsidRDefault="00F927C2" w:rsidP="00F927C2">
      <w:pPr>
        <w:spacing w:line="276" w:lineRule="auto"/>
        <w:rPr>
          <w:bCs/>
          <w:iCs/>
        </w:rPr>
      </w:pPr>
    </w:p>
    <w:p w14:paraId="7E653C96" w14:textId="77777777" w:rsidR="00F927C2" w:rsidRPr="00F927C2" w:rsidRDefault="00F927C2" w:rsidP="00F927C2">
      <w:pPr>
        <w:spacing w:line="276" w:lineRule="auto"/>
      </w:pPr>
      <w:r w:rsidRPr="00F927C2">
        <w:rPr>
          <w:rFonts w:eastAsia="Calibri"/>
        </w:rPr>
        <w:t xml:space="preserve">Prihod od poreza na dobit u 2025. godini ostvaren je u iznosu od 2,7 milijardi eura, što je približno na razini prethodne godine, odnosno za 0,5% manje. </w:t>
      </w:r>
      <w:r w:rsidRPr="00F927C2">
        <w:t xml:space="preserve">Prikupljeni prihod od poreza na dobit rezultat je poslovanja poduzeća tijekom 2024. godine jer se isti u tekućoj godini uplaćuje temeljem </w:t>
      </w:r>
      <w:r w:rsidRPr="00F927C2">
        <w:rPr>
          <w:rFonts w:eastAsia="Calibri" w:cs="Calibri"/>
        </w:rPr>
        <w:t xml:space="preserve">poslovanja poduzetnika prethodne godine. </w:t>
      </w:r>
    </w:p>
    <w:p w14:paraId="0CD2364A" w14:textId="77777777" w:rsidR="00F927C2" w:rsidRPr="00F927C2" w:rsidRDefault="00F927C2" w:rsidP="00F927C2">
      <w:pPr>
        <w:spacing w:line="276" w:lineRule="auto"/>
        <w:jc w:val="left"/>
        <w:rPr>
          <w:bCs/>
          <w:iCs/>
        </w:rPr>
      </w:pPr>
    </w:p>
    <w:p w14:paraId="777968A8" w14:textId="77777777" w:rsidR="00F927C2" w:rsidRPr="00F927C2" w:rsidRDefault="00F927C2" w:rsidP="00F927C2">
      <w:pPr>
        <w:spacing w:line="276" w:lineRule="auto"/>
        <w:jc w:val="left"/>
        <w:rPr>
          <w:b/>
          <w:bCs/>
          <w:i/>
          <w:iCs/>
        </w:rPr>
      </w:pPr>
      <w:r w:rsidRPr="00F927C2">
        <w:rPr>
          <w:b/>
          <w:bCs/>
          <w:i/>
          <w:iCs/>
        </w:rPr>
        <w:t>Prihod od poreza na dodanu vrijednost</w:t>
      </w:r>
    </w:p>
    <w:p w14:paraId="07B0E295" w14:textId="77777777" w:rsidR="00F927C2" w:rsidRPr="00F927C2" w:rsidRDefault="00F927C2" w:rsidP="00F927C2">
      <w:pPr>
        <w:spacing w:line="276" w:lineRule="auto"/>
        <w:rPr>
          <w:bCs/>
          <w:iCs/>
        </w:rPr>
      </w:pPr>
    </w:p>
    <w:p w14:paraId="27F110D3" w14:textId="77777777" w:rsidR="00F927C2" w:rsidRPr="00F927C2" w:rsidRDefault="00F927C2" w:rsidP="00F927C2">
      <w:pPr>
        <w:spacing w:line="276" w:lineRule="auto"/>
      </w:pPr>
      <w:r w:rsidRPr="00F927C2">
        <w:rPr>
          <w:rFonts w:eastAsia="Calibri"/>
        </w:rPr>
        <w:t xml:space="preserve">Tijekom 2025. godine prihod od poreza na dodanu vrijednost ostvaren je u iznosu od 12,3 milijarde eura, što predstavlja rast od 7,8% u odnosu na prethodnu godinu. Prikupljeni prihodi od PDV-a </w:t>
      </w:r>
      <w:r w:rsidRPr="00F927C2">
        <w:t xml:space="preserve">ponajprije su rezultat nominalnog rasta osobne i turističke potrošnje, investicijske aktivnosti, prethodno spomenutih poreznih rasterećenja te kretanja cijena. Promet u trgovini na malo povećan je u nominalnim iznosima 5,4% u 2025. godini. </w:t>
      </w:r>
      <w:bookmarkStart w:id="3" w:name="_Toc134353527"/>
    </w:p>
    <w:p w14:paraId="661F25F3" w14:textId="77777777" w:rsidR="00F927C2" w:rsidRPr="00F927C2" w:rsidRDefault="00F927C2" w:rsidP="00F927C2">
      <w:pPr>
        <w:spacing w:line="276" w:lineRule="auto"/>
      </w:pPr>
    </w:p>
    <w:p w14:paraId="53FFB710" w14:textId="057A588F" w:rsidR="00F927C2" w:rsidRPr="00F927C2" w:rsidRDefault="00A47360" w:rsidP="00F927C2">
      <w:pPr>
        <w:spacing w:line="276" w:lineRule="auto"/>
        <w:rPr>
          <w:b/>
          <w:bCs/>
          <w:iCs/>
          <w:sz w:val="22"/>
        </w:rPr>
      </w:pPr>
      <w:r w:rsidRPr="00EC4B19">
        <w:rPr>
          <w:b/>
          <w:bCs/>
          <w:iCs/>
          <w:sz w:val="22"/>
        </w:rPr>
        <w:t>Grafikon 4:</w:t>
      </w:r>
      <w:r w:rsidR="00F927C2" w:rsidRPr="00F927C2">
        <w:rPr>
          <w:b/>
          <w:bCs/>
          <w:iCs/>
          <w:sz w:val="22"/>
        </w:rPr>
        <w:t xml:space="preserve"> Kretanje prihoda od poreza na dodanu vrijednost u 2024. i 20</w:t>
      </w:r>
      <w:bookmarkEnd w:id="3"/>
      <w:r w:rsidR="00F927C2" w:rsidRPr="00F927C2">
        <w:rPr>
          <w:b/>
          <w:bCs/>
          <w:iCs/>
          <w:sz w:val="22"/>
        </w:rPr>
        <w:t xml:space="preserve">25. </w:t>
      </w:r>
    </w:p>
    <w:p w14:paraId="141ECE36" w14:textId="77777777" w:rsidR="00F927C2" w:rsidRPr="00F927C2" w:rsidRDefault="00F927C2" w:rsidP="00F927C2">
      <w:pPr>
        <w:spacing w:line="276" w:lineRule="auto"/>
        <w:rPr>
          <w:bCs/>
          <w:iCs/>
          <w:sz w:val="22"/>
        </w:rPr>
      </w:pPr>
      <w:r w:rsidRPr="00F927C2">
        <w:rPr>
          <w:bCs/>
          <w:iCs/>
          <w:noProof/>
          <w:sz w:val="22"/>
        </w:rPr>
        <w:drawing>
          <wp:inline distT="0" distB="0" distL="0" distR="0" wp14:anchorId="53E81EB4" wp14:editId="0AEECC31">
            <wp:extent cx="5667945" cy="2867025"/>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1449" cy="2873856"/>
                    </a:xfrm>
                    <a:prstGeom prst="rect">
                      <a:avLst/>
                    </a:prstGeom>
                    <a:noFill/>
                  </pic:spPr>
                </pic:pic>
              </a:graphicData>
            </a:graphic>
          </wp:inline>
        </w:drawing>
      </w:r>
    </w:p>
    <w:p w14:paraId="7CD9A895" w14:textId="06363C75" w:rsidR="00F927C2" w:rsidRDefault="00F927C2" w:rsidP="00F927C2">
      <w:pPr>
        <w:spacing w:line="276" w:lineRule="auto"/>
        <w:jc w:val="left"/>
        <w:rPr>
          <w:b/>
          <w:bCs/>
          <w:i/>
          <w:iCs/>
        </w:rPr>
      </w:pPr>
    </w:p>
    <w:p w14:paraId="45255A75" w14:textId="77777777" w:rsidR="00F927C2" w:rsidRPr="00F927C2" w:rsidRDefault="00F927C2" w:rsidP="00F927C2">
      <w:pPr>
        <w:spacing w:line="276" w:lineRule="auto"/>
        <w:jc w:val="left"/>
        <w:rPr>
          <w:b/>
          <w:bCs/>
          <w:i/>
          <w:iCs/>
        </w:rPr>
      </w:pPr>
      <w:r w:rsidRPr="00F927C2">
        <w:rPr>
          <w:b/>
          <w:bCs/>
          <w:i/>
          <w:iCs/>
        </w:rPr>
        <w:lastRenderedPageBreak/>
        <w:t>Prihod od posebnih poreza i trošarina</w:t>
      </w:r>
    </w:p>
    <w:p w14:paraId="450C1DEF" w14:textId="77777777" w:rsidR="00F927C2" w:rsidRPr="00F927C2" w:rsidRDefault="00F927C2" w:rsidP="00F927C2">
      <w:pPr>
        <w:spacing w:line="276" w:lineRule="auto"/>
        <w:rPr>
          <w:bCs/>
          <w:iCs/>
        </w:rPr>
      </w:pPr>
    </w:p>
    <w:p w14:paraId="7CE53515" w14:textId="77777777" w:rsidR="00F927C2" w:rsidRPr="00F927C2" w:rsidRDefault="00F927C2" w:rsidP="00F927C2">
      <w:pPr>
        <w:spacing w:after="120" w:line="276" w:lineRule="auto"/>
      </w:pPr>
      <w:r w:rsidRPr="00F927C2">
        <w:t xml:space="preserve">Prihodi od posebnih poreza i trošarina u 2025. godini ostvareni su u iznosu od 3,0 milijarde eura ili 6% više na međugodišnjoj razini, odnosno 0,9% manje od planiranih. Rezultat su povećanja intenziteta prometa i potrošnje trošarinskih proizvoda. U njihovoj strukturi </w:t>
      </w:r>
      <w:r w:rsidRPr="00F927C2">
        <w:rPr>
          <w:rFonts w:eastAsia="Calibri"/>
        </w:rPr>
        <w:t xml:space="preserve">najznačajniji prihod čine trošarine na energente i električnu energiju s udjelom od 50,4%, a ostvaren je u iznosu od 1,5 milijardi eura. </w:t>
      </w:r>
      <w:r w:rsidRPr="00F927C2">
        <w:t>Na međugodišnjoj razini</w:t>
      </w:r>
      <w:r w:rsidRPr="00F927C2">
        <w:rPr>
          <w:rFonts w:eastAsia="Calibri"/>
        </w:rPr>
        <w:t xml:space="preserve"> ovaj prihod bilježi rast od 7</w:t>
      </w:r>
      <w:r w:rsidRPr="00F927C2">
        <w:t>%.</w:t>
      </w:r>
    </w:p>
    <w:p w14:paraId="00326FFA" w14:textId="77777777" w:rsidR="00F927C2" w:rsidRPr="00F927C2" w:rsidRDefault="00F927C2" w:rsidP="00F927C2">
      <w:pPr>
        <w:spacing w:after="120" w:line="276" w:lineRule="auto"/>
      </w:pPr>
      <w:r w:rsidRPr="00F927C2">
        <w:rPr>
          <w:rFonts w:eastAsia="Calibri"/>
        </w:rPr>
        <w:t>Drugi po važnosti jest prihod od trošarina na duhanske proizvode koji</w:t>
      </w:r>
      <w:r w:rsidRPr="00F927C2">
        <w:t xml:space="preserve"> je u 2025. godini ostvaren u iznosu od 1,1 milijarde eura i bilježi međugodišnje povećanje od 6,7%. </w:t>
      </w:r>
      <w:bookmarkStart w:id="4" w:name="_Toc134353534"/>
      <w:r w:rsidRPr="00F927C2">
        <w:t xml:space="preserve">Od 1. srpnja 2025. godine u primjeni je nova Uredba o visini trošarine na duhanske prerađevine i duhanske proizvode. Prema toj Uredbi, specifična trošarina iznosi 56,10 eura za 1000 komada cigareta, a proporcionalna 34% od maloprodajne cijene. Minimalna trošarina na cigarete iznosi 124,20 eura za 1000 komada, trošarina na sitno rezani duhan za savijanje cigareta iznosi 120,50 eura za jedan kilogram, na ostali duhan za pušenje 120,50 eura za jedan kilogram, na cigare 120,50 eura za 1000 komada i na </w:t>
      </w:r>
      <w:proofErr w:type="spellStart"/>
      <w:r w:rsidRPr="00F927C2">
        <w:t>cigarilose</w:t>
      </w:r>
      <w:proofErr w:type="spellEnd"/>
      <w:r w:rsidRPr="00F927C2">
        <w:t xml:space="preserve"> 120,50 eura za 1000 komada. Trošarina na e-tekućinu iznosi 0,20 eura za jedan mililitar, na grijani duhanski proizvod 198,50 eura za jedan kilogram te na novi duhanski proizvod 120,50 eura za jedan kilogram.</w:t>
      </w:r>
    </w:p>
    <w:p w14:paraId="29FE7B59" w14:textId="77777777" w:rsidR="00F927C2" w:rsidRPr="00F927C2" w:rsidRDefault="00F927C2" w:rsidP="00F927C2">
      <w:pPr>
        <w:spacing w:after="120" w:line="276" w:lineRule="auto"/>
      </w:pPr>
      <w:r w:rsidRPr="00F927C2">
        <w:t xml:space="preserve">Prihodi od trošarina na alkoholna pića iznose 63,2 milijuna eura i bilježe međugodišnje povećanje od 0,4%, dok prihodi od posebnog poreza na bezalkoholna pića iznose 36,3 milijuna eura i bilježe međugodišnji rast od 2,8%. Povećanje od 2,6% bilježi i prihod od trošarina na automobile, ostala motorna vozila, plovila i zrakoplove koji iznosi 180,8 milijuna eura. Trošarine na pivo i poseban porez na kavu zabilježili su međugodišnje smanjenje. </w:t>
      </w:r>
    </w:p>
    <w:p w14:paraId="22CEE1A6" w14:textId="77777777" w:rsidR="00F927C2" w:rsidRPr="00F927C2" w:rsidRDefault="00F927C2" w:rsidP="00F927C2">
      <w:pPr>
        <w:spacing w:after="120"/>
        <w:rPr>
          <w:bCs/>
          <w:iCs/>
        </w:rPr>
      </w:pPr>
    </w:p>
    <w:p w14:paraId="75B356C6" w14:textId="38D18446" w:rsidR="00F927C2" w:rsidRPr="00F927C2" w:rsidRDefault="003054EA" w:rsidP="00F927C2">
      <w:pPr>
        <w:spacing w:after="120" w:line="276" w:lineRule="auto"/>
        <w:jc w:val="left"/>
        <w:rPr>
          <w:b/>
        </w:rPr>
      </w:pPr>
      <w:r w:rsidRPr="00EC4B19">
        <w:rPr>
          <w:b/>
        </w:rPr>
        <w:t>Tablica 3:</w:t>
      </w:r>
      <w:r w:rsidR="00F927C2" w:rsidRPr="00F927C2">
        <w:rPr>
          <w:b/>
        </w:rPr>
        <w:t xml:space="preserve"> Posebni porezi i trošarine u 2024. i 2025. godini</w:t>
      </w:r>
      <w:bookmarkEnd w:id="4"/>
    </w:p>
    <w:p w14:paraId="7C14CFFB" w14:textId="77777777" w:rsidR="00F927C2" w:rsidRPr="00F927C2" w:rsidRDefault="00F927C2" w:rsidP="00F927C2">
      <w:pPr>
        <w:spacing w:line="276" w:lineRule="auto"/>
        <w:rPr>
          <w:bCs/>
          <w:iCs/>
        </w:rPr>
      </w:pPr>
      <w:r w:rsidRPr="00F927C2">
        <w:rPr>
          <w:noProof/>
        </w:rPr>
        <w:drawing>
          <wp:inline distT="0" distB="0" distL="0" distR="0" wp14:anchorId="061C1D64" wp14:editId="7FA03188">
            <wp:extent cx="5808268" cy="2600121"/>
            <wp:effectExtent l="0" t="0" r="254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5579" cy="2612347"/>
                    </a:xfrm>
                    <a:prstGeom prst="rect">
                      <a:avLst/>
                    </a:prstGeom>
                    <a:noFill/>
                    <a:ln>
                      <a:noFill/>
                    </a:ln>
                  </pic:spPr>
                </pic:pic>
              </a:graphicData>
            </a:graphic>
          </wp:inline>
        </w:drawing>
      </w:r>
    </w:p>
    <w:p w14:paraId="457BB94F" w14:textId="77777777" w:rsidR="00F927C2" w:rsidRPr="00F927C2" w:rsidRDefault="00F927C2" w:rsidP="00F927C2">
      <w:pPr>
        <w:spacing w:line="276" w:lineRule="auto"/>
        <w:rPr>
          <w:bCs/>
          <w:iCs/>
        </w:rPr>
      </w:pPr>
    </w:p>
    <w:p w14:paraId="3680DF8B" w14:textId="77777777" w:rsidR="00F927C2" w:rsidRPr="00F927C2" w:rsidRDefault="00F927C2" w:rsidP="00F927C2">
      <w:pPr>
        <w:spacing w:line="276" w:lineRule="auto"/>
        <w:rPr>
          <w:bCs/>
          <w:iCs/>
        </w:rPr>
      </w:pPr>
    </w:p>
    <w:p w14:paraId="090CBB28" w14:textId="77777777" w:rsidR="00F927C2" w:rsidRPr="00F927C2" w:rsidRDefault="00F927C2" w:rsidP="00F927C2">
      <w:pPr>
        <w:spacing w:line="276" w:lineRule="auto"/>
        <w:rPr>
          <w:bCs/>
          <w:iCs/>
        </w:rPr>
      </w:pPr>
    </w:p>
    <w:p w14:paraId="487490F9" w14:textId="77777777" w:rsidR="00F927C2" w:rsidRPr="00F927C2" w:rsidRDefault="00F927C2" w:rsidP="00F927C2">
      <w:pPr>
        <w:spacing w:line="276" w:lineRule="auto"/>
        <w:rPr>
          <w:bCs/>
          <w:iCs/>
        </w:rPr>
      </w:pPr>
    </w:p>
    <w:p w14:paraId="3AEA7713" w14:textId="77777777" w:rsidR="00F927C2" w:rsidRPr="00F927C2" w:rsidRDefault="00F927C2" w:rsidP="00F927C2">
      <w:pPr>
        <w:spacing w:line="276" w:lineRule="auto"/>
        <w:rPr>
          <w:b/>
          <w:bCs/>
          <w:i/>
          <w:iCs/>
        </w:rPr>
      </w:pPr>
      <w:r w:rsidRPr="00F927C2">
        <w:rPr>
          <w:b/>
          <w:bCs/>
          <w:i/>
          <w:iCs/>
        </w:rPr>
        <w:lastRenderedPageBreak/>
        <w:t>Prihod od ostalih poreza na robu i usluge</w:t>
      </w:r>
    </w:p>
    <w:p w14:paraId="4FE6ECD7" w14:textId="77777777" w:rsidR="00F927C2" w:rsidRPr="00F927C2" w:rsidRDefault="00F927C2" w:rsidP="00F927C2">
      <w:pPr>
        <w:spacing w:line="276" w:lineRule="auto"/>
        <w:rPr>
          <w:bCs/>
          <w:iCs/>
        </w:rPr>
      </w:pPr>
    </w:p>
    <w:p w14:paraId="6918E53F" w14:textId="77777777" w:rsidR="00F927C2" w:rsidRPr="00F927C2" w:rsidRDefault="00F927C2" w:rsidP="00F927C2">
      <w:pPr>
        <w:spacing w:line="276" w:lineRule="auto"/>
      </w:pPr>
      <w:r w:rsidRPr="00F927C2">
        <w:t xml:space="preserve">U 2025. godini prihod od ostalih poreza na robu i usluge ostvaren je u iznosu od 106,2 milijuna eura, što je na međugodišnjoj razini rast od 9,9%. Ovu skupinu poreznih prihoda čine prihodi od poreza na osiguranje od automobilske odgovornosti i </w:t>
      </w:r>
      <w:proofErr w:type="spellStart"/>
      <w:r w:rsidRPr="00F927C2">
        <w:t>kasko</w:t>
      </w:r>
      <w:proofErr w:type="spellEnd"/>
      <w:r w:rsidRPr="00F927C2">
        <w:t xml:space="preserve"> osiguranja</w:t>
      </w:r>
      <w:r w:rsidRPr="00F927C2">
        <w:rPr>
          <w:rFonts w:eastAsia="Calibri" w:cs="Calibri"/>
        </w:rPr>
        <w:t xml:space="preserve">, a rasli su sukladno kretanjima cijena obveznih i </w:t>
      </w:r>
      <w:proofErr w:type="spellStart"/>
      <w:r w:rsidRPr="00F927C2">
        <w:rPr>
          <w:rFonts w:eastAsia="Calibri" w:cs="Calibri"/>
        </w:rPr>
        <w:t>kasko</w:t>
      </w:r>
      <w:proofErr w:type="spellEnd"/>
      <w:r w:rsidRPr="00F927C2">
        <w:rPr>
          <w:rFonts w:eastAsia="Calibri" w:cs="Calibri"/>
        </w:rPr>
        <w:t xml:space="preserve"> auto osiguranja. </w:t>
      </w:r>
    </w:p>
    <w:p w14:paraId="7B1F865D" w14:textId="77777777" w:rsidR="00F927C2" w:rsidRPr="00F927C2" w:rsidRDefault="00F927C2" w:rsidP="00F927C2">
      <w:pPr>
        <w:spacing w:line="276" w:lineRule="auto"/>
        <w:rPr>
          <w:rFonts w:eastAsia="Calibri"/>
        </w:rPr>
      </w:pPr>
    </w:p>
    <w:p w14:paraId="03728DE2" w14:textId="77777777" w:rsidR="00F927C2" w:rsidRPr="00F927C2" w:rsidRDefault="00F927C2" w:rsidP="00F927C2">
      <w:pPr>
        <w:spacing w:line="276" w:lineRule="auto"/>
        <w:rPr>
          <w:b/>
          <w:bCs/>
          <w:i/>
          <w:iCs/>
        </w:rPr>
      </w:pPr>
      <w:r w:rsidRPr="00F927C2">
        <w:rPr>
          <w:b/>
          <w:bCs/>
          <w:i/>
          <w:iCs/>
        </w:rPr>
        <w:t xml:space="preserve">Porez na dobitke od igara na sreću i ostali porezi od igara na sreću </w:t>
      </w:r>
    </w:p>
    <w:p w14:paraId="5CB9C063" w14:textId="77777777" w:rsidR="00F927C2" w:rsidRPr="00F927C2" w:rsidRDefault="00F927C2" w:rsidP="00F927C2">
      <w:pPr>
        <w:spacing w:line="276" w:lineRule="auto"/>
        <w:rPr>
          <w:rFonts w:eastAsia="Calibri"/>
        </w:rPr>
      </w:pPr>
    </w:p>
    <w:p w14:paraId="5D167306" w14:textId="77777777" w:rsidR="00F927C2" w:rsidRPr="00F927C2" w:rsidRDefault="00F927C2" w:rsidP="00F927C2">
      <w:pPr>
        <w:spacing w:line="276" w:lineRule="auto"/>
      </w:pPr>
      <w:r w:rsidRPr="00F927C2">
        <w:t xml:space="preserve">Prihod od poreza na dobitke od igara na sreću i ostalih poreza od igara na sreću iznosi 76,7 milijuna eura, što je na međugodišnjoj razini smanjenje od 2,3%, a kretao se sukladno isplaćenim dobicima. </w:t>
      </w:r>
    </w:p>
    <w:p w14:paraId="41479DF2" w14:textId="77777777" w:rsidR="00F927C2" w:rsidRPr="00F927C2" w:rsidRDefault="00F927C2" w:rsidP="00F927C2">
      <w:pPr>
        <w:spacing w:line="276" w:lineRule="auto"/>
      </w:pPr>
    </w:p>
    <w:p w14:paraId="738334E9" w14:textId="77777777" w:rsidR="00F927C2" w:rsidRPr="00F927C2" w:rsidRDefault="00F927C2" w:rsidP="00F927C2">
      <w:pPr>
        <w:spacing w:line="276" w:lineRule="auto"/>
        <w:rPr>
          <w:b/>
          <w:bCs/>
          <w:i/>
          <w:iCs/>
        </w:rPr>
      </w:pPr>
      <w:r w:rsidRPr="00F927C2">
        <w:rPr>
          <w:b/>
          <w:bCs/>
          <w:i/>
          <w:iCs/>
        </w:rPr>
        <w:t>Porez na međunarodnu trgovinu i transakcije</w:t>
      </w:r>
    </w:p>
    <w:p w14:paraId="0B91D359" w14:textId="77777777" w:rsidR="00F927C2" w:rsidRPr="00F927C2" w:rsidRDefault="00F927C2" w:rsidP="00F927C2">
      <w:pPr>
        <w:spacing w:line="276" w:lineRule="auto"/>
        <w:rPr>
          <w:bCs/>
          <w:iCs/>
        </w:rPr>
      </w:pPr>
    </w:p>
    <w:p w14:paraId="7465A4D1" w14:textId="77777777" w:rsidR="00F927C2" w:rsidRPr="00F927C2" w:rsidRDefault="00F927C2" w:rsidP="00F927C2">
      <w:pPr>
        <w:spacing w:line="276" w:lineRule="auto"/>
      </w:pPr>
      <w:r w:rsidRPr="00F927C2">
        <w:t xml:space="preserve">Prihod od poreza na međunarodnu trgovinu i transakcije ostvaren je u iznosu od 94,1 milijun eura, što je povećanje od 10,4% u odnosu na 2024. godinu. Ovaj prihod ovisi o kretanju cijena na međunarodnom tržištu. </w:t>
      </w:r>
    </w:p>
    <w:p w14:paraId="7A70DB8F" w14:textId="77777777" w:rsidR="00F927C2" w:rsidRPr="00F927C2" w:rsidRDefault="00F927C2" w:rsidP="00F927C2">
      <w:pPr>
        <w:spacing w:line="276" w:lineRule="auto"/>
        <w:rPr>
          <w:rFonts w:eastAsia="Calibri"/>
        </w:rPr>
      </w:pPr>
    </w:p>
    <w:p w14:paraId="56A4040B" w14:textId="77777777" w:rsidR="00F927C2" w:rsidRPr="00F927C2" w:rsidRDefault="00F927C2" w:rsidP="00F927C2">
      <w:pPr>
        <w:spacing w:line="276" w:lineRule="auto"/>
        <w:jc w:val="left"/>
        <w:rPr>
          <w:b/>
          <w:bCs/>
          <w:i/>
          <w:iCs/>
        </w:rPr>
      </w:pPr>
      <w:r w:rsidRPr="00F927C2">
        <w:rPr>
          <w:b/>
          <w:bCs/>
          <w:i/>
          <w:iCs/>
        </w:rPr>
        <w:t>Prihodi od doprinosa</w:t>
      </w:r>
    </w:p>
    <w:p w14:paraId="6D3C0704" w14:textId="77777777" w:rsidR="00F927C2" w:rsidRPr="00F927C2" w:rsidRDefault="00F927C2" w:rsidP="00F927C2">
      <w:pPr>
        <w:spacing w:line="276" w:lineRule="auto"/>
      </w:pPr>
    </w:p>
    <w:p w14:paraId="32E6094F" w14:textId="77777777" w:rsidR="00F927C2" w:rsidRPr="00F927C2" w:rsidRDefault="00F927C2" w:rsidP="00F927C2">
      <w:pPr>
        <w:spacing w:line="276" w:lineRule="auto"/>
      </w:pPr>
      <w:r w:rsidRPr="00F927C2">
        <w:t xml:space="preserve">U 2025. godini prihodi od doprinosa za mirovinsko osiguranje iznose 5,8 milijardi eura, što na međugodišnjoj razini predstavlja povećanje od 16,6%, sukladno kretanju na tržištu rada, odnosno rastu plaća i zaposlenosti uslijed pojačane gospodarske aktivnosti. Pritom prihodi od kapitaliziranog doprinosa iznose 270,2 milijuna eura. </w:t>
      </w:r>
      <w:bookmarkStart w:id="5" w:name="_Toc134353535"/>
    </w:p>
    <w:p w14:paraId="3DFFE20F" w14:textId="77777777" w:rsidR="00F927C2" w:rsidRPr="00F927C2" w:rsidRDefault="00F927C2" w:rsidP="00F927C2">
      <w:pPr>
        <w:spacing w:line="276" w:lineRule="auto"/>
      </w:pPr>
    </w:p>
    <w:bookmarkEnd w:id="5"/>
    <w:p w14:paraId="1C90226F" w14:textId="77777777" w:rsidR="00F927C2" w:rsidRPr="00F927C2" w:rsidRDefault="00F927C2" w:rsidP="00F927C2">
      <w:pPr>
        <w:spacing w:line="276" w:lineRule="auto"/>
        <w:jc w:val="left"/>
        <w:rPr>
          <w:b/>
          <w:bCs/>
          <w:iCs/>
        </w:rPr>
      </w:pPr>
      <w:r w:rsidRPr="00F927C2">
        <w:rPr>
          <w:b/>
          <w:bCs/>
          <w:iCs/>
        </w:rPr>
        <w:t xml:space="preserve">Prihodi od pomoći </w:t>
      </w:r>
    </w:p>
    <w:p w14:paraId="6085ACA7" w14:textId="77777777" w:rsidR="00F927C2" w:rsidRPr="00F927C2" w:rsidRDefault="00F927C2" w:rsidP="00F927C2">
      <w:pPr>
        <w:spacing w:line="276" w:lineRule="auto"/>
        <w:rPr>
          <w:bCs/>
          <w:iCs/>
          <w:sz w:val="16"/>
          <w:szCs w:val="16"/>
        </w:rPr>
      </w:pPr>
    </w:p>
    <w:p w14:paraId="033D6295" w14:textId="77777777" w:rsidR="00F927C2" w:rsidRPr="00F927C2" w:rsidRDefault="00F927C2" w:rsidP="00F927C2">
      <w:pPr>
        <w:spacing w:line="276" w:lineRule="auto"/>
      </w:pPr>
      <w:r w:rsidRPr="00F927C2">
        <w:t>Prihodi od pomoći iznose 3,1 milijardu eura te su ostvareni na razini od 83,4% godišnjeg plana. U njihovoj strukturi 90,4% čine pomoći od međunarodnih organizacija te institucija i tijela EU, koji iznose 2,8 milijardi eura, a vezani su uz projekte financirane iz EU fondova te iz Mehanizma za oporavak i otpornost. Od 1. siječnja 2025. promijenjena je metodologija priznavanja prihoda od EU pomoći. Naime, prihode od EU pomoći u državnom proračunu pratimo na novčanoj osnovi na način da se isti evidentiraju u razdoblju kada su refundirani iz proračuna EU ili kada se može napraviti prijeboj potraživanja za EU pomoći sa sredstvima unaprijed naplaćenog EU predujma. Osim toga, kategorija prihoda od pomoći uključuje i manji dio prihoda od pomoći od inozemnih vlada, pomoći iz drugih proračuna, pomoći od ostalih subjekata unutar općeg proračuna, pomoći proračunskim korisnicima iz proračuna koji im nije nadležan, pomoći iz državnog proračuna temeljem prijenosa EU sredstava te prijenosa između proračunskih korisnika istog proračuna.</w:t>
      </w:r>
    </w:p>
    <w:p w14:paraId="64FB8E6C" w14:textId="77777777" w:rsidR="00F927C2" w:rsidRPr="00F927C2" w:rsidRDefault="00F927C2" w:rsidP="00F927C2">
      <w:pPr>
        <w:spacing w:line="276" w:lineRule="auto"/>
      </w:pPr>
    </w:p>
    <w:p w14:paraId="2193AA18" w14:textId="77777777" w:rsidR="00F927C2" w:rsidRPr="00F927C2" w:rsidRDefault="00F927C2" w:rsidP="00F927C2">
      <w:pPr>
        <w:spacing w:line="276" w:lineRule="auto"/>
      </w:pPr>
    </w:p>
    <w:p w14:paraId="38F11191" w14:textId="25A3A6D3" w:rsidR="00F927C2" w:rsidRDefault="00F927C2" w:rsidP="00F927C2">
      <w:pPr>
        <w:spacing w:line="276" w:lineRule="auto"/>
      </w:pPr>
    </w:p>
    <w:p w14:paraId="1243AE98" w14:textId="77777777" w:rsidR="00FE3C57" w:rsidRPr="00F927C2" w:rsidRDefault="00FE3C57" w:rsidP="00F927C2">
      <w:pPr>
        <w:spacing w:line="276" w:lineRule="auto"/>
      </w:pPr>
    </w:p>
    <w:p w14:paraId="76423935" w14:textId="77777777" w:rsidR="00F927C2" w:rsidRPr="00F927C2" w:rsidRDefault="00F927C2" w:rsidP="00F927C2">
      <w:pPr>
        <w:spacing w:line="276" w:lineRule="auto"/>
        <w:jc w:val="left"/>
        <w:rPr>
          <w:b/>
          <w:bCs/>
          <w:iCs/>
        </w:rPr>
      </w:pPr>
      <w:r w:rsidRPr="00F927C2">
        <w:rPr>
          <w:b/>
          <w:bCs/>
          <w:iCs/>
        </w:rPr>
        <w:lastRenderedPageBreak/>
        <w:t xml:space="preserve">Prihodi od imovine </w:t>
      </w:r>
    </w:p>
    <w:p w14:paraId="6599ABB3" w14:textId="77777777" w:rsidR="00F927C2" w:rsidRPr="00F927C2" w:rsidRDefault="00F927C2" w:rsidP="00F927C2">
      <w:pPr>
        <w:spacing w:line="276" w:lineRule="auto"/>
        <w:rPr>
          <w:bCs/>
          <w:iCs/>
          <w:sz w:val="16"/>
          <w:szCs w:val="16"/>
        </w:rPr>
      </w:pPr>
    </w:p>
    <w:p w14:paraId="535CDF32" w14:textId="77777777" w:rsidR="00F927C2" w:rsidRPr="00F927C2" w:rsidRDefault="00F927C2" w:rsidP="00F927C2">
      <w:pPr>
        <w:spacing w:after="120" w:line="276" w:lineRule="auto"/>
      </w:pPr>
      <w:r w:rsidRPr="00F927C2">
        <w:t xml:space="preserve">Prihodi od imovine u 2025. godini ostvareni su u iznosu od 563,2 milijuna eura, a sastoje se od prihoda od financijske imovine, prihoda od nefinancijske imovine i prihoda od kamata na dane zajmove. </w:t>
      </w:r>
      <w:r w:rsidRPr="00F927C2">
        <w:rPr>
          <w:rFonts w:eastAsia="Calibri"/>
        </w:rPr>
        <w:t>Međugodišnje smanjenje prihoda od imovine iznosi 9,8%</w:t>
      </w:r>
      <w:r w:rsidRPr="00F927C2">
        <w:t xml:space="preserve">, dok su u odnosu na planirane vrijednosti ovi prihodi ostvareni za 20,5% više. </w:t>
      </w:r>
    </w:p>
    <w:p w14:paraId="2CEB73F5" w14:textId="77777777" w:rsidR="00F927C2" w:rsidRPr="00F927C2" w:rsidRDefault="00F927C2" w:rsidP="00F927C2">
      <w:pPr>
        <w:spacing w:after="120" w:line="276" w:lineRule="auto"/>
      </w:pPr>
      <w:r w:rsidRPr="00F927C2">
        <w:t>Prihodi od financijske imovine manji su za 25,5% u odnosu na prethodnu godinu odnosno iznose 320,7 milijuna eura. Pritom su prihodi od dividendi i dobiti trgovačkih društava iznosili 200,4 milijuna eura, prihodi od kamata na oročena sredstva i depozite po viđenju 56,6 milijuna eura, prihodi od zateznih kamata 26,4 milijuna eura, a 36,4 milijuna eura ostvareno je po osnovi ostalih prihoda od financijske imovine.</w:t>
      </w:r>
    </w:p>
    <w:p w14:paraId="5FCC3BF8" w14:textId="77777777" w:rsidR="00F927C2" w:rsidRPr="00F927C2" w:rsidRDefault="00F927C2" w:rsidP="00F927C2">
      <w:pPr>
        <w:spacing w:after="120" w:line="276" w:lineRule="auto"/>
      </w:pPr>
      <w:r w:rsidRPr="00F927C2">
        <w:t xml:space="preserve">Prihodi od nefinancijske imovine iznose 185,7 milijuna eura i za 45,4% su veći </w:t>
      </w:r>
      <w:bookmarkStart w:id="6" w:name="_Toc134353536"/>
      <w:r w:rsidRPr="00F927C2">
        <w:t xml:space="preserve">u odnosu na prethodnu godinu. Prihodi od koncesijskih naknada u 2025. godini prikupljeni su u iznosu od 64,1 milijun eura, prihodi od iznajmljivanja i zakupa imovine u iznosu od 19,3 milijuna eura, a prihodi od naknada za korištenje nefinancijske imovine u iznosu od 100,7 milijuna eura, što  proizlazi iz jednokratne naknade, koju je </w:t>
      </w:r>
      <w:proofErr w:type="spellStart"/>
      <w:r w:rsidRPr="00F927C2">
        <w:t>teleoperater</w:t>
      </w:r>
      <w:proofErr w:type="spellEnd"/>
      <w:r w:rsidRPr="00F927C2">
        <w:t xml:space="preserve"> </w:t>
      </w:r>
      <w:proofErr w:type="spellStart"/>
      <w:r w:rsidRPr="00F927C2">
        <w:t>Telemach</w:t>
      </w:r>
      <w:proofErr w:type="spellEnd"/>
      <w:r w:rsidRPr="00F927C2">
        <w:t xml:space="preserve"> uplatio u državni proračun na ime prava uporabe </w:t>
      </w:r>
      <w:proofErr w:type="spellStart"/>
      <w:r w:rsidRPr="00F927C2">
        <w:t>radiofrekvencijskog</w:t>
      </w:r>
      <w:proofErr w:type="spellEnd"/>
      <w:r w:rsidRPr="00F927C2">
        <w:t xml:space="preserve"> spektra za mreže pokretnih komunikacija.</w:t>
      </w:r>
    </w:p>
    <w:p w14:paraId="39257B40" w14:textId="77777777" w:rsidR="00F927C2" w:rsidRPr="00F927C2" w:rsidRDefault="00F927C2" w:rsidP="00F927C2">
      <w:pPr>
        <w:spacing w:after="120" w:line="276" w:lineRule="auto"/>
      </w:pPr>
      <w:r w:rsidRPr="00F927C2">
        <w:t xml:space="preserve">Prihod od kamata na dane zajmove iznosi 56,8 milijuna eura. Najveći iznos prihoda po ovoj osnovi uplatile su Hrvatske ceste i Hrvatske autoceste po osnovi Ugovora s Ministarstvom financija vezano uz financijsko restrukturiranje cestarskih društava odnosno refinanciranja njihovih obveza temeljem izdane obveznice. </w:t>
      </w:r>
    </w:p>
    <w:bookmarkEnd w:id="6"/>
    <w:p w14:paraId="6DF61E23" w14:textId="77777777" w:rsidR="00F927C2" w:rsidRPr="00F927C2" w:rsidRDefault="00F927C2" w:rsidP="00F927C2">
      <w:pPr>
        <w:spacing w:line="276" w:lineRule="auto"/>
      </w:pPr>
    </w:p>
    <w:p w14:paraId="15EF2765" w14:textId="77777777" w:rsidR="00F927C2" w:rsidRPr="00F927C2" w:rsidRDefault="00F927C2" w:rsidP="00F927C2">
      <w:pPr>
        <w:spacing w:line="276" w:lineRule="auto"/>
      </w:pPr>
      <w:bookmarkStart w:id="7" w:name="_Toc134353537"/>
      <w:r w:rsidRPr="00F927C2">
        <w:rPr>
          <w:b/>
        </w:rPr>
        <w:t>Prihodi od upravnih i administrativnih pristojbi, pristojbi po posebnim propisima i naknada te naknade za priređivanje igara na sreću</w:t>
      </w:r>
    </w:p>
    <w:p w14:paraId="12C6F8C7" w14:textId="77777777" w:rsidR="00F927C2" w:rsidRPr="00F927C2" w:rsidRDefault="00F927C2" w:rsidP="00F927C2">
      <w:pPr>
        <w:spacing w:line="276" w:lineRule="auto"/>
        <w:rPr>
          <w:bCs/>
          <w:iCs/>
          <w:sz w:val="16"/>
          <w:szCs w:val="16"/>
        </w:rPr>
      </w:pPr>
    </w:p>
    <w:p w14:paraId="7642AEC6" w14:textId="77777777" w:rsidR="00F927C2" w:rsidRPr="00F927C2" w:rsidRDefault="00F927C2" w:rsidP="00F927C2">
      <w:pPr>
        <w:spacing w:line="276" w:lineRule="auto"/>
      </w:pPr>
      <w:r w:rsidRPr="00F927C2">
        <w:t xml:space="preserve">Prihodi od upravnih i administrativnih pristojbi, pristojbi po posebnim propisima i naknada te naknade za priređivanje igara na sreću u 2025. godini ostvareni su u iznosu od 1,3 milijarde eura, čime bilježe međugodišnje povećanje od 39,2%. Prihodi od upravnih i administrativnih pristojbi iznose 174,3 milijuna eura, a prihodi po posebnim propisima 823,6 milijuna eura. Ovi prihodi uključuju i dio namjenskih prihoda u sustavu znanosti i drugih proračunskih korisnika. Prihodi od naknada za priređivanje igara na sreću, koji se od 1. siječnja 2025. bilježe u okviru ove kategorije, iznose 302,1 milijun eura i ostvareni su za 13,9% više nego prethodne godine, a što je prije svega rezultat naknada koje priređivači plaćaju temeljem Zakona o igrama na sreću i ugovora o pravu priređivanja. </w:t>
      </w:r>
    </w:p>
    <w:p w14:paraId="7737E2E1" w14:textId="77777777" w:rsidR="00F927C2" w:rsidRPr="00F927C2" w:rsidRDefault="00F927C2" w:rsidP="00F927C2">
      <w:pPr>
        <w:spacing w:line="276" w:lineRule="auto"/>
      </w:pPr>
    </w:p>
    <w:p w14:paraId="3607C2CE" w14:textId="77777777" w:rsidR="00F927C2" w:rsidRPr="00F927C2" w:rsidRDefault="00F927C2" w:rsidP="00F927C2">
      <w:pPr>
        <w:spacing w:line="276" w:lineRule="auto"/>
        <w:rPr>
          <w:b/>
        </w:rPr>
      </w:pPr>
      <w:r w:rsidRPr="00F927C2">
        <w:rPr>
          <w:b/>
        </w:rPr>
        <w:t>Prihodi od prodaje proizvoda i roba te pruženih usluga i prihodi od donacija</w:t>
      </w:r>
    </w:p>
    <w:p w14:paraId="62C9366B" w14:textId="77777777" w:rsidR="00F927C2" w:rsidRPr="00F927C2" w:rsidRDefault="00F927C2" w:rsidP="00F927C2">
      <w:pPr>
        <w:spacing w:line="276" w:lineRule="auto"/>
        <w:rPr>
          <w:bCs/>
          <w:iCs/>
          <w:sz w:val="16"/>
          <w:szCs w:val="16"/>
        </w:rPr>
      </w:pPr>
    </w:p>
    <w:p w14:paraId="5C39A20D" w14:textId="39B7CA6B" w:rsidR="00F927C2" w:rsidRDefault="00F927C2" w:rsidP="00F927C2">
      <w:pPr>
        <w:spacing w:line="276" w:lineRule="auto"/>
      </w:pPr>
      <w:r w:rsidRPr="00F927C2">
        <w:t xml:space="preserve">Prihodi od prodaje proizvoda i roba te pruženih usluga te prihodi od donacija namjenski su prihodi proračunskih korisnika, a tijekom 2025. godine ostvareni su u iznosu od 246,3 milijuna eura ili 1,4% više u odnosu na prethodnu godinu. Promatrano pojedinačno, prihodi od prodaje proizvoda i roba te pruženih usluga iznosili su 218,9 milijuna eura, a prihodi od donacija 27,5 milijuna eura. </w:t>
      </w:r>
    </w:p>
    <w:p w14:paraId="5ADD4562" w14:textId="77777777" w:rsidR="00FE3C57" w:rsidRPr="00F927C2" w:rsidRDefault="00FE3C57" w:rsidP="00F927C2">
      <w:pPr>
        <w:spacing w:line="276" w:lineRule="auto"/>
      </w:pPr>
    </w:p>
    <w:p w14:paraId="79310B1D" w14:textId="77777777" w:rsidR="00F927C2" w:rsidRPr="00F927C2" w:rsidRDefault="00F927C2" w:rsidP="00F927C2">
      <w:pPr>
        <w:spacing w:line="276" w:lineRule="auto"/>
        <w:jc w:val="left"/>
        <w:rPr>
          <w:b/>
          <w:bCs/>
          <w:iCs/>
        </w:rPr>
      </w:pPr>
      <w:r w:rsidRPr="00F927C2">
        <w:rPr>
          <w:b/>
          <w:bCs/>
          <w:iCs/>
        </w:rPr>
        <w:lastRenderedPageBreak/>
        <w:t>Prihodi iz nadležnog proračuna i od HZZO-a temeljem ugovornih obveza</w:t>
      </w:r>
    </w:p>
    <w:p w14:paraId="69845962" w14:textId="77777777" w:rsidR="00F927C2" w:rsidRPr="00F927C2" w:rsidRDefault="00F927C2" w:rsidP="00F927C2">
      <w:pPr>
        <w:tabs>
          <w:tab w:val="left" w:pos="1755"/>
        </w:tabs>
        <w:spacing w:line="276" w:lineRule="auto"/>
        <w:rPr>
          <w:bCs/>
          <w:iCs/>
          <w:sz w:val="16"/>
          <w:szCs w:val="16"/>
        </w:rPr>
      </w:pPr>
    </w:p>
    <w:p w14:paraId="1565FC91" w14:textId="77777777" w:rsidR="00F927C2" w:rsidRPr="00F927C2" w:rsidRDefault="00F927C2" w:rsidP="00F927C2">
      <w:pPr>
        <w:spacing w:line="276" w:lineRule="auto"/>
      </w:pPr>
      <w:r w:rsidRPr="00F927C2">
        <w:t xml:space="preserve">Prihodi iz nadležnog proračuna i od HZZO-a temeljem ugovornih obveza, a koji se odnose na prihode državnih bolničkih ustanova, iznosili su 3 milijarde eura te bilježe povećanje od 14,6% u odnosu na 2024. godinu. </w:t>
      </w:r>
    </w:p>
    <w:p w14:paraId="0496F2BD" w14:textId="77777777" w:rsidR="00F927C2" w:rsidRPr="00F927C2" w:rsidRDefault="00F927C2" w:rsidP="00F927C2">
      <w:pPr>
        <w:spacing w:line="276" w:lineRule="auto"/>
        <w:jc w:val="left"/>
        <w:rPr>
          <w:highlight w:val="yellow"/>
        </w:rPr>
      </w:pPr>
    </w:p>
    <w:p w14:paraId="2DEAE8A5" w14:textId="77777777" w:rsidR="00F927C2" w:rsidRPr="00F927C2" w:rsidRDefault="00F927C2" w:rsidP="00F927C2">
      <w:pPr>
        <w:spacing w:line="276" w:lineRule="auto"/>
        <w:jc w:val="left"/>
        <w:rPr>
          <w:b/>
        </w:rPr>
      </w:pPr>
      <w:r w:rsidRPr="00F927C2">
        <w:rPr>
          <w:b/>
        </w:rPr>
        <w:t>Prihodi od kazni, upravnih mjera i ostali prihodi</w:t>
      </w:r>
    </w:p>
    <w:p w14:paraId="27EBCD52" w14:textId="77777777" w:rsidR="00F927C2" w:rsidRPr="00F927C2" w:rsidRDefault="00F927C2" w:rsidP="00F927C2">
      <w:pPr>
        <w:spacing w:line="276" w:lineRule="auto"/>
        <w:rPr>
          <w:bCs/>
          <w:iCs/>
          <w:sz w:val="16"/>
          <w:szCs w:val="16"/>
        </w:rPr>
      </w:pPr>
    </w:p>
    <w:p w14:paraId="1C30924A" w14:textId="77777777" w:rsidR="00F927C2" w:rsidRPr="00F927C2" w:rsidRDefault="00F927C2" w:rsidP="00F927C2">
      <w:pPr>
        <w:spacing w:line="276" w:lineRule="auto"/>
      </w:pPr>
      <w:r w:rsidRPr="00F927C2">
        <w:t>Prihodi od kazni, upravnih mjera i ostali prihodi prikupljeni su u iznosu od 177,2 milijuna eura, a na međugodišnjoj razini smanjuju se za 34,7%. Prihodi od kazni ostvareni su najviše od kazni za prekršaje u prometu, dok se preostali dio odnosi na kazne u poreznim, carinskim i deviznim prekršajima, kazne za privredne prijestupe te druge upravne mjere. Međutim, valja napomenuti kako je u kategoriji ostalih prihoda u 2024. evidentirana i HEP-ova uplata prihoda od prodaje plina u iznosu od 120 milijuna eura u državni proračun, temeljem Odluke o izmjenama Odluke o osiguranju zaliha plina na teritoriju Republike Hrvatske</w:t>
      </w:r>
      <w:r w:rsidRPr="00EC4B19">
        <w:rPr>
          <w:vertAlign w:val="superscript"/>
        </w:rPr>
        <w:footnoteReference w:id="2"/>
      </w:r>
      <w:r w:rsidRPr="00F927C2">
        <w:t xml:space="preserve">, a koju je Vlada Republike Hrvatske donijela u siječnju 2024. godine. Ovo je ujedno glavni razlog velikog međugodišnjeg pada po osnovi ovih prihoda. </w:t>
      </w:r>
    </w:p>
    <w:bookmarkEnd w:id="7"/>
    <w:p w14:paraId="0E68F003" w14:textId="77777777" w:rsidR="00F927C2" w:rsidRPr="00F927C2" w:rsidRDefault="00F927C2" w:rsidP="00F927C2">
      <w:pPr>
        <w:spacing w:line="276" w:lineRule="auto"/>
        <w:rPr>
          <w:highlight w:val="yellow"/>
        </w:rPr>
      </w:pPr>
    </w:p>
    <w:p w14:paraId="6ACC4F5F" w14:textId="77777777" w:rsidR="00F927C2" w:rsidRPr="00F927C2" w:rsidRDefault="00F927C2" w:rsidP="00F927C2">
      <w:pPr>
        <w:spacing w:line="276" w:lineRule="auto"/>
        <w:rPr>
          <w:b/>
          <w:bCs/>
          <w:iCs/>
          <w:u w:val="single"/>
        </w:rPr>
      </w:pPr>
      <w:r w:rsidRPr="00F927C2">
        <w:rPr>
          <w:b/>
          <w:bCs/>
          <w:iCs/>
          <w:u w:val="single"/>
        </w:rPr>
        <w:t>Prihodi od prodaje nefinancijske imovine</w:t>
      </w:r>
    </w:p>
    <w:p w14:paraId="3B0DD6C3" w14:textId="77777777" w:rsidR="00F927C2" w:rsidRPr="00F927C2" w:rsidRDefault="00F927C2" w:rsidP="00F927C2">
      <w:pPr>
        <w:spacing w:line="276" w:lineRule="auto"/>
      </w:pPr>
    </w:p>
    <w:p w14:paraId="1CF4DC5F" w14:textId="77777777" w:rsidR="00F927C2" w:rsidRPr="00F927C2" w:rsidRDefault="00F927C2" w:rsidP="00F927C2">
      <w:pPr>
        <w:spacing w:line="276" w:lineRule="auto"/>
      </w:pPr>
      <w:r w:rsidRPr="00F927C2">
        <w:t xml:space="preserve">Prihodi od prodaje nefinancijske imovine tijekom 2025. godine ostvareni su u iznosu od 51,3 milijuna eura, pri čemu prihodi od prodaje proizvedene dugotrajne imovine iznose 17,6 milijuna eura, prihodi od prodaje zaliha 25,9 milijuna eura, prihodi od prodaje </w:t>
      </w:r>
      <w:proofErr w:type="spellStart"/>
      <w:r w:rsidRPr="00F927C2">
        <w:t>neproizvedene</w:t>
      </w:r>
      <w:proofErr w:type="spellEnd"/>
      <w:r w:rsidRPr="00F927C2">
        <w:t xml:space="preserve"> imovine odnosno zemljišta 7,5 milijuna eura, a prihodi od prodaje plemenitih metala i ostalih pohranjenih vrijednosti 304,2 tisuće eura. Značajan međugodišnji pad prihoda od prodaje nefinancijske imovine  proizlazi iz većih prihoda u 2024. godini u kojoj je knjižen prihod po osnovi klirinškog duga HEP-a prema državnom proračunu u iznosu od 114 milijuna eura za isporučenu opremu HEP-u za izgradnju termoelektrane Sisak.</w:t>
      </w:r>
    </w:p>
    <w:p w14:paraId="76A4F4DF" w14:textId="1E191981" w:rsidR="009445B6" w:rsidRPr="00EC4B19" w:rsidRDefault="009445B6" w:rsidP="00F927C2">
      <w:pPr>
        <w:rPr>
          <w:b/>
        </w:rPr>
      </w:pPr>
    </w:p>
    <w:p w14:paraId="24079CCA" w14:textId="77777777" w:rsidR="00695D19" w:rsidRPr="00EC4B19" w:rsidRDefault="00695D19">
      <w:pPr>
        <w:spacing w:after="160" w:line="259" w:lineRule="auto"/>
        <w:jc w:val="left"/>
        <w:rPr>
          <w:b/>
          <w:bCs/>
        </w:rPr>
      </w:pPr>
      <w:r w:rsidRPr="00EC4B19">
        <w:rPr>
          <w:b/>
          <w:bCs/>
        </w:rPr>
        <w:br w:type="page"/>
      </w:r>
    </w:p>
    <w:p w14:paraId="740603C6" w14:textId="77777777" w:rsidR="00CD06DF" w:rsidRPr="006C7493" w:rsidRDefault="00CD06DF" w:rsidP="00CD06DF">
      <w:pPr>
        <w:jc w:val="center"/>
        <w:rPr>
          <w:b/>
          <w:bCs/>
        </w:rPr>
      </w:pPr>
      <w:r w:rsidRPr="006C7493">
        <w:rPr>
          <w:b/>
          <w:bCs/>
        </w:rPr>
        <w:lastRenderedPageBreak/>
        <w:t>RASHODI DRŽAVNOG PRORAČUNA</w:t>
      </w:r>
    </w:p>
    <w:p w14:paraId="25CBADB4" w14:textId="77777777" w:rsidR="00CD06DF" w:rsidRPr="006C7493" w:rsidRDefault="00CD06DF" w:rsidP="00CD06DF">
      <w:pPr>
        <w:jc w:val="center"/>
        <w:rPr>
          <w:b/>
          <w:bCs/>
        </w:rPr>
      </w:pPr>
    </w:p>
    <w:p w14:paraId="11D3A617" w14:textId="77777777" w:rsidR="00CD06DF" w:rsidRPr="00EC4B19" w:rsidRDefault="00CD06DF" w:rsidP="00CD06DF">
      <w:r w:rsidRPr="00EC4B19">
        <w:t xml:space="preserve">Ukupni rashodi Državnog proračuna Republike Hrvatske za 2025. godinu planirani su u iznosu od 36,8 milijardi eura, od čega rashodi poslovanja 34,4 milijarde eura, a rashodi za nabavu nefinancijske imovine 2,4 milijarde eura. </w:t>
      </w:r>
    </w:p>
    <w:p w14:paraId="7F976FB5" w14:textId="77777777" w:rsidR="00CD06DF" w:rsidRPr="00EC4B19" w:rsidRDefault="00CD06DF" w:rsidP="00CD06DF">
      <w:pPr>
        <w:jc w:val="left"/>
        <w:rPr>
          <w:b/>
        </w:rPr>
      </w:pPr>
    </w:p>
    <w:p w14:paraId="6FA56B29" w14:textId="0D1D57C9" w:rsidR="00CD06DF" w:rsidRPr="00EC4B19" w:rsidRDefault="004C74E9" w:rsidP="00CD06DF">
      <w:pPr>
        <w:jc w:val="left"/>
        <w:rPr>
          <w:b/>
        </w:rPr>
      </w:pPr>
      <w:r w:rsidRPr="00EC4B19">
        <w:rPr>
          <w:b/>
        </w:rPr>
        <w:t>Tablica 4</w:t>
      </w:r>
      <w:r w:rsidR="00CD06DF" w:rsidRPr="00EC4B19">
        <w:rPr>
          <w:b/>
        </w:rPr>
        <w:t xml:space="preserve">: Kretanje rashoda u 2024. i 2025. godini </w:t>
      </w:r>
    </w:p>
    <w:p w14:paraId="380D0034" w14:textId="77777777" w:rsidR="00CD06DF" w:rsidRPr="00EC4B19" w:rsidRDefault="00CD06DF" w:rsidP="00CD06DF">
      <w:r w:rsidRPr="00EC4B19">
        <w:rPr>
          <w:noProof/>
        </w:rPr>
        <w:drawing>
          <wp:inline distT="0" distB="0" distL="0" distR="0" wp14:anchorId="238E8A2C" wp14:editId="2E577E2C">
            <wp:extent cx="5760720" cy="1135079"/>
            <wp:effectExtent l="0" t="0" r="0" b="825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135079"/>
                    </a:xfrm>
                    <a:prstGeom prst="rect">
                      <a:avLst/>
                    </a:prstGeom>
                    <a:noFill/>
                    <a:ln>
                      <a:noFill/>
                    </a:ln>
                  </pic:spPr>
                </pic:pic>
              </a:graphicData>
            </a:graphic>
          </wp:inline>
        </w:drawing>
      </w:r>
    </w:p>
    <w:p w14:paraId="65CD8B8D" w14:textId="77777777" w:rsidR="00CD06DF" w:rsidRPr="00EC4B19" w:rsidRDefault="00CD06DF" w:rsidP="00CD06DF"/>
    <w:p w14:paraId="196F9710" w14:textId="77777777" w:rsidR="00CD06DF" w:rsidRPr="00EC4B19" w:rsidRDefault="00CD06DF" w:rsidP="00CD06DF">
      <w:r w:rsidRPr="00EC4B19">
        <w:t>Izvršenje ukupnih rashoda državnog proračuna u 2025. godini iznosi 36,0 milijardi eura, što čini 97,7% planiranih rashoda za 2025. godinu. Rashodi poslovanja izvršeni su u iznosu od 33,9 milijardi eura, odnosno 98,5% planiranih rashoda poslovanja, dok su rashodi za nabavu nefinancijske imovine izvršeni u iznosu od 2,1 milijardu eura, odnosno 86,4% plana.</w:t>
      </w:r>
    </w:p>
    <w:p w14:paraId="6902F76F" w14:textId="77777777" w:rsidR="00CD06DF" w:rsidRPr="00EC4B19" w:rsidRDefault="00CD06DF" w:rsidP="00CD06DF"/>
    <w:p w14:paraId="31DB4720" w14:textId="77777777" w:rsidR="00CD06DF" w:rsidRPr="00EC4B19" w:rsidRDefault="00CD06DF" w:rsidP="00CD06DF">
      <w:r w:rsidRPr="00EC4B19">
        <w:t xml:space="preserve">Najznačajniji rashodi u 2025. godini izvršeni su unutar programa Mirovine i mirovinska primanja u iznosu od 9,2 milijarde eura, </w:t>
      </w:r>
      <w:r w:rsidRPr="00EC4B19">
        <w:rPr>
          <w:bCs/>
          <w:iCs/>
        </w:rPr>
        <w:t xml:space="preserve">od čega su rashodi za mirovine, uključujući i </w:t>
      </w:r>
      <w:r w:rsidRPr="00EC4B19">
        <w:t xml:space="preserve">godišnji dodatak korisnicima mirovine, </w:t>
      </w:r>
      <w:r w:rsidRPr="00EC4B19">
        <w:rPr>
          <w:bCs/>
          <w:iCs/>
        </w:rPr>
        <w:t>izvršeni u iznosu od 9,1 milijardu eura</w:t>
      </w:r>
      <w:r w:rsidRPr="00EC4B19">
        <w:t>. Za rashode za zaposlene, uključujući rashode za zaposlene u osnovnim i srednjim školama, izdvojeno je 8,3 milijarde eura.</w:t>
      </w:r>
    </w:p>
    <w:p w14:paraId="44445C62" w14:textId="77777777" w:rsidR="00CD06DF" w:rsidRPr="00EC4B19" w:rsidRDefault="00CD06DF" w:rsidP="00CD06DF"/>
    <w:p w14:paraId="0D98F991" w14:textId="77777777" w:rsidR="00CD06DF" w:rsidRPr="00EC4B19" w:rsidRDefault="00CD06DF" w:rsidP="00CD06DF">
      <w:r w:rsidRPr="00EC4B19">
        <w:t xml:space="preserve">Za naknade u socijalnoj skrbi izdvojeno je 1,5 milijardi eura, dok je za </w:t>
      </w:r>
      <w:proofErr w:type="spellStart"/>
      <w:r w:rsidRPr="00EC4B19">
        <w:t>rodiljni</w:t>
      </w:r>
      <w:proofErr w:type="spellEnd"/>
      <w:r w:rsidRPr="00EC4B19">
        <w:t xml:space="preserve"> dopust, roditeljski dopust te doplatak za djecu isplaćen ukupan iznos 703,4 milijuna eura.</w:t>
      </w:r>
    </w:p>
    <w:p w14:paraId="40AADA9C" w14:textId="77777777" w:rsidR="00CD06DF" w:rsidRPr="00EC4B19" w:rsidRDefault="00CD06DF" w:rsidP="00CD06DF"/>
    <w:p w14:paraId="75916F94" w14:textId="77777777" w:rsidR="00CD06DF" w:rsidRPr="00EC4B19" w:rsidRDefault="00CD06DF" w:rsidP="00CD06DF">
      <w:r w:rsidRPr="00EC4B19">
        <w:t xml:space="preserve">Rashodi u 2025. povezani uz sanaciju posljedica katastrofe uzrokovane potresima koji su 2020. godine pogodili Republiku Hrvatsku i to potres na području Grada Zagreba, Krapinsko-zagorske županije i Zagrebačke županije iz ožujka 2020. i potres na području Sisačko-moslavačke županije, Zagrebačke županije i Karlovačke županije iz prosinca 2020. godine iznosili su 851,4 milijuna eura. </w:t>
      </w:r>
    </w:p>
    <w:p w14:paraId="677289F5" w14:textId="77777777" w:rsidR="00CD06DF" w:rsidRPr="00EC4B19" w:rsidRDefault="00CD06DF" w:rsidP="00CD06DF"/>
    <w:p w14:paraId="30236C53" w14:textId="77777777" w:rsidR="00CD06DF" w:rsidRPr="00EC4B19" w:rsidRDefault="00CD06DF" w:rsidP="00CD06DF">
      <w:r w:rsidRPr="00EC4B19">
        <w:t>Za sanaciju štete uzrokovane potresom na području Grada Zagreba, Krapinsko-zagorske županije i Zagrebačke županije utrošen je iznos od 537,7 milijuna eura, dok je za sanaciju štete uzrokovane potresom na području Sisačko-moslavačke županije, Zagrebačke i Karlovačke županije iz prosinca 2020. godine utrošeno 313,8 milijuna eura.</w:t>
      </w:r>
    </w:p>
    <w:p w14:paraId="59FF6A57" w14:textId="77777777" w:rsidR="00CD06DF" w:rsidRPr="00EC4B19" w:rsidRDefault="00CD06DF" w:rsidP="00CD06DF"/>
    <w:p w14:paraId="369F82AB" w14:textId="77777777" w:rsidR="00CD06DF" w:rsidRPr="00EC4B19" w:rsidRDefault="00CD06DF" w:rsidP="00CD06DF">
      <w:r w:rsidRPr="00EC4B19">
        <w:t xml:space="preserve">Na rashodovnu stranu državnog proračuna utjecali su i troškovi provedbe mjera Vlade Republike Hrvatske za zaštitu kućanstva i gospodarstva od rasta cijena. Rashodi državnog proračuna za provedbu navedenih mjera u 2025. godini izvršeni su u iznosu od 634,8 milijuna eura i uključuju isplatu jednokratnih novčanih primanja korisnicima mirovine te korisnicima u sustavu o socijalnoj skrbi o hrvatskim braniteljima, potpore korisnicima prava u sustavu socijalne skrbi i pružateljima socijalnih usluga, poljoprivrednicima, prijevoznicima, studentima i studentskim centrima. Uz navedeno, dana je potpora poduzećima za tranziciju na energetski i resursno učinkovito gospodarstvo, podmirene su naknade za energente te su isplaćene naknade za ugroženog kupca energenata. </w:t>
      </w:r>
    </w:p>
    <w:p w14:paraId="2064A5A7" w14:textId="77777777" w:rsidR="00CD06DF" w:rsidRPr="00EC4B19" w:rsidRDefault="00CD06DF" w:rsidP="00CD06DF"/>
    <w:p w14:paraId="5033AEBD" w14:textId="77777777" w:rsidR="00CD06DF" w:rsidRPr="00EC4B19" w:rsidRDefault="00CD06DF" w:rsidP="00CD06DF">
      <w:r w:rsidRPr="00EC4B19">
        <w:lastRenderedPageBreak/>
        <w:t xml:space="preserve">Rashodi evidentirani na izvorima financiranja Europske unije u 2025. godini izvršeni su u iznosu od 3,2 milijarde eura. Uz navedeno, u 2025. godini rashodi evidentirani na izvoru financiranja zajma u okviru Nacionalnog programa oporavka i otpornosti izvršeni su u iznosu od 565,7 milijuna eura. </w:t>
      </w:r>
    </w:p>
    <w:p w14:paraId="69C375E7" w14:textId="77777777" w:rsidR="00CD06DF" w:rsidRPr="00EC4B19" w:rsidRDefault="00CD06DF" w:rsidP="00CD06DF"/>
    <w:p w14:paraId="0A8F18AE" w14:textId="77777777" w:rsidR="00CD06DF" w:rsidRPr="00EC4B19" w:rsidRDefault="00CD06DF" w:rsidP="00CD06DF">
      <w:r w:rsidRPr="00EC4B19">
        <w:t xml:space="preserve">Ukupni rashodi državnog proračuna u 2025. godini veći su za 3,2 milijarde eura ili 9,9% u odnosu na prethodnu godinu. </w:t>
      </w:r>
    </w:p>
    <w:p w14:paraId="2EB2850F" w14:textId="77777777" w:rsidR="00CD06DF" w:rsidRPr="00EC4B19" w:rsidRDefault="00CD06DF" w:rsidP="00CD06DF"/>
    <w:p w14:paraId="11A74C9F" w14:textId="77777777" w:rsidR="00CD06DF" w:rsidRPr="00EC4B19" w:rsidRDefault="00CD06DF" w:rsidP="00CD06DF">
      <w:r w:rsidRPr="00EC4B19">
        <w:t>Povećanje ukupnih rashoda prvenstveno je rezultat povećanja izdvajanja za:</w:t>
      </w:r>
    </w:p>
    <w:p w14:paraId="5A331DC4" w14:textId="77777777" w:rsidR="00CD06DF" w:rsidRPr="00EC4B19" w:rsidRDefault="00CD06DF" w:rsidP="00CD06DF">
      <w:pPr>
        <w:pStyle w:val="Odlomakpopisa"/>
        <w:numPr>
          <w:ilvl w:val="0"/>
          <w:numId w:val="21"/>
        </w:numPr>
      </w:pPr>
      <w:r w:rsidRPr="00EC4B19">
        <w:t xml:space="preserve">rashode za isplatu mirovina i isplatu godišnjeg dodatka korisnicima mirovine u iznosu od </w:t>
      </w:r>
      <w:r w:rsidRPr="00EC4B19">
        <w:rPr>
          <w:bCs/>
          <w:iCs/>
        </w:rPr>
        <w:t xml:space="preserve">1,1 </w:t>
      </w:r>
      <w:r w:rsidRPr="00EC4B19">
        <w:t>milijarde</w:t>
      </w:r>
      <w:r w:rsidRPr="00EC4B19">
        <w:rPr>
          <w:bCs/>
          <w:iCs/>
        </w:rPr>
        <w:t xml:space="preserve"> eura,</w:t>
      </w:r>
      <w:r w:rsidRPr="00EC4B19">
        <w:t xml:space="preserve"> prvenstveno radi usklađivanja mirovina ostvarenih prema općem i posebnim propisima za 3,03% od 1. siječnja 2025. i za 6,48% od 1. srpnja 2025. godine te stupanja na snagu novog Zakona o mirovinskom osiguranju (Narodne novine, 96/2025.) koji je u primjeni od 1. srpnja 2025. godine,</w:t>
      </w:r>
    </w:p>
    <w:p w14:paraId="7609D645" w14:textId="77777777" w:rsidR="00CD06DF" w:rsidRPr="00EC4B19" w:rsidRDefault="00CD06DF" w:rsidP="00CD06DF">
      <w:pPr>
        <w:pStyle w:val="Odlomakpopisa"/>
        <w:numPr>
          <w:ilvl w:val="0"/>
          <w:numId w:val="21"/>
        </w:numPr>
      </w:pPr>
      <w:r w:rsidRPr="00EC4B19">
        <w:t xml:space="preserve">rashode za zaposlene (uključujući rashode za zaposlene u osnovnim i srednjim školama) u iznosu od 767,5 milijuna eura, što je rezultat pune primjene Zakona o plaćama u državnoj službi i javnim službama (Narodne novine, broj 155/23.) te drugih propisa kojima se reguliraju plaće zaposlenika u državnoj službi i javnim službama, </w:t>
      </w:r>
    </w:p>
    <w:p w14:paraId="726E0EBF" w14:textId="77777777" w:rsidR="00CD06DF" w:rsidRPr="00EC4B19" w:rsidRDefault="00CD06DF" w:rsidP="00CD06DF">
      <w:pPr>
        <w:pStyle w:val="Odlomakpopisa"/>
        <w:numPr>
          <w:ilvl w:val="0"/>
          <w:numId w:val="21"/>
        </w:numPr>
      </w:pPr>
      <w:r w:rsidRPr="00EC4B19">
        <w:t xml:space="preserve">naknade u socijalnoj skrbi u iznosu od 480,9 milijuna eura i to najvećim dijelom zbog povećanog izvršenja </w:t>
      </w:r>
      <w:proofErr w:type="spellStart"/>
      <w:r w:rsidRPr="00EC4B19">
        <w:t>inkluzivnog</w:t>
      </w:r>
      <w:proofErr w:type="spellEnd"/>
      <w:r w:rsidRPr="00EC4B19">
        <w:t xml:space="preserve"> dodatka,</w:t>
      </w:r>
    </w:p>
    <w:p w14:paraId="0338B4FE" w14:textId="77777777" w:rsidR="00CD06DF" w:rsidRPr="00EC4B19" w:rsidRDefault="00CD06DF" w:rsidP="00CD06DF">
      <w:pPr>
        <w:pStyle w:val="Odlomakpopisa"/>
        <w:numPr>
          <w:ilvl w:val="0"/>
          <w:numId w:val="21"/>
        </w:numPr>
      </w:pPr>
      <w:r w:rsidRPr="00EC4B19">
        <w:t xml:space="preserve">ulaganja u opremanje i modernizaciju vojske u iznosu od 214,2 milijuna eura, </w:t>
      </w:r>
    </w:p>
    <w:p w14:paraId="318434A3" w14:textId="77777777" w:rsidR="00CD06DF" w:rsidRPr="00EC4B19" w:rsidRDefault="00CD06DF" w:rsidP="00CD06DF">
      <w:pPr>
        <w:pStyle w:val="Odlomakpopisa"/>
        <w:numPr>
          <w:ilvl w:val="0"/>
          <w:numId w:val="21"/>
        </w:numPr>
      </w:pPr>
      <w:r w:rsidRPr="00EC4B19">
        <w:t>rashode po osnovi utroška lijekova i potrošnog medicinskog materijala kod zdravstvenih ustanova u iznosu od 258,8 milijuna eura zbog porasta opće razine cijena uzrokovanih makroekonomskim prilikama,</w:t>
      </w:r>
    </w:p>
    <w:p w14:paraId="37E42C2E" w14:textId="77777777" w:rsidR="00CD06DF" w:rsidRPr="00EC4B19" w:rsidRDefault="00CD06DF" w:rsidP="00CD06DF">
      <w:pPr>
        <w:pStyle w:val="Odlomakpopisa"/>
        <w:numPr>
          <w:ilvl w:val="0"/>
          <w:numId w:val="21"/>
        </w:numPr>
      </w:pPr>
      <w:r w:rsidRPr="00EC4B19">
        <w:t xml:space="preserve">ulaganja u željeznički sektor u iznosu od 209,0 milijuna eura, </w:t>
      </w:r>
    </w:p>
    <w:p w14:paraId="477FBED2" w14:textId="77777777" w:rsidR="00CD06DF" w:rsidRPr="00EC4B19" w:rsidRDefault="00CD06DF" w:rsidP="00CD06DF">
      <w:pPr>
        <w:pStyle w:val="Odlomakpopisa"/>
        <w:numPr>
          <w:ilvl w:val="0"/>
          <w:numId w:val="21"/>
        </w:numPr>
      </w:pPr>
      <w:r w:rsidRPr="00EC4B19">
        <w:t xml:space="preserve">demografske mjere i poticanje useljeništva u iznosu od 174,7 milijuna eura, što je prvenstveno rezultat primjene Zakona o izmjenama i dopunama Zakona o </w:t>
      </w:r>
      <w:proofErr w:type="spellStart"/>
      <w:r w:rsidRPr="00EC4B19">
        <w:t>rodiljnim</w:t>
      </w:r>
      <w:proofErr w:type="spellEnd"/>
      <w:r w:rsidRPr="00EC4B19">
        <w:t xml:space="preserve"> i roditeljskim potporama (Narodne novine, broj 34/25.) kojim se od 1. ožujka 2025. godine povećavaju naknade za roditeljske potpore, udvostručuje jednokratna novčana potpora za novorođeno dijete te produžuje očinski dopust,</w:t>
      </w:r>
    </w:p>
    <w:p w14:paraId="0AC85D87" w14:textId="77777777" w:rsidR="00CD06DF" w:rsidRPr="00EC4B19" w:rsidRDefault="00CD06DF" w:rsidP="00CD06DF">
      <w:pPr>
        <w:pStyle w:val="Odlomakpopisa"/>
        <w:numPr>
          <w:ilvl w:val="0"/>
          <w:numId w:val="21"/>
        </w:numPr>
      </w:pPr>
      <w:r w:rsidRPr="00EC4B19">
        <w:t>energetsku održivost u iznosu od 142,9 milijuna eura te</w:t>
      </w:r>
    </w:p>
    <w:p w14:paraId="43B8B259" w14:textId="77777777" w:rsidR="00CD06DF" w:rsidRPr="00EC4B19" w:rsidRDefault="00CD06DF" w:rsidP="00CD06DF">
      <w:pPr>
        <w:pStyle w:val="Odlomakpopisa"/>
        <w:numPr>
          <w:ilvl w:val="0"/>
          <w:numId w:val="21"/>
        </w:numPr>
      </w:pPr>
      <w:r w:rsidRPr="00EC4B19">
        <w:t>doprinos Republike Hrvatske proračunu Europske unije u iznosu od 117,2 milijuna eura.</w:t>
      </w:r>
    </w:p>
    <w:p w14:paraId="1F9EE3EA" w14:textId="77777777" w:rsidR="00CD06DF" w:rsidRPr="00EC4B19" w:rsidRDefault="00CD06DF" w:rsidP="00CD06DF">
      <w:pPr>
        <w:pStyle w:val="Odlomakpopisa"/>
        <w:ind w:left="780"/>
      </w:pPr>
    </w:p>
    <w:p w14:paraId="2D9A4AD8" w14:textId="77777777" w:rsidR="00CD06DF" w:rsidRPr="00EC4B19" w:rsidRDefault="00CD06DF" w:rsidP="00CD06DF">
      <w:r w:rsidRPr="00EC4B19">
        <w:t xml:space="preserve">S druge strane u odnosu na prethodnu godinu rashodi za subvencije smanjeni su za 732,2 milijuna eura prvenstveno radi smanjenog izdvajanja za subvencije unutar resora Ministarstva gospodarstva. Naime, zbog stabilizacije tržišta i osiguranja potrebne količine plina u 2025. godini više se nisu planirala sredstva u državnom proračunu za osiguranje dostatne zalihe plina u skladištu PSP </w:t>
      </w:r>
      <w:proofErr w:type="spellStart"/>
      <w:r w:rsidRPr="00EC4B19">
        <w:t>Okoli</w:t>
      </w:r>
      <w:proofErr w:type="spellEnd"/>
      <w:r w:rsidRPr="00EC4B19">
        <w:t>, za koje je u 2024. isplaćen iznos od 298,5 milijuna eura. Također, u 2024. godini društvu Hrvatskoj elektroprivredi d.d. nadoknađen je dio razlike u cijeni električne energije za razdoblje od 1. listopada 2022. do 31. ožujka 2023. godine u iznosu od 415,4 milijuna eura te razlika u cijeni toplinske energije za razdoblje od 1. listopada 2022. do 30. rujna 2023. godine u iznosu od 132,9 milijuna eura.</w:t>
      </w:r>
    </w:p>
    <w:p w14:paraId="13361B36" w14:textId="77777777" w:rsidR="00CD06DF" w:rsidRPr="00EC4B19" w:rsidRDefault="00CD06DF" w:rsidP="00CD06DF">
      <w:pPr>
        <w:spacing w:after="160" w:line="259" w:lineRule="auto"/>
        <w:jc w:val="left"/>
        <w:rPr>
          <w:sz w:val="20"/>
          <w:szCs w:val="20"/>
        </w:rPr>
      </w:pPr>
      <w:r w:rsidRPr="00EC4B19">
        <w:rPr>
          <w:sz w:val="20"/>
          <w:szCs w:val="20"/>
        </w:rPr>
        <w:br w:type="page"/>
      </w:r>
    </w:p>
    <w:p w14:paraId="1DBE98D2" w14:textId="77777777" w:rsidR="00CD06DF" w:rsidRPr="00EC4B19" w:rsidRDefault="00CD06DF" w:rsidP="00CD06DF">
      <w:pPr>
        <w:keepNext/>
        <w:outlineLvl w:val="0"/>
        <w:rPr>
          <w:b/>
          <w:bCs/>
        </w:rPr>
      </w:pPr>
      <w:r w:rsidRPr="00EC4B19">
        <w:rPr>
          <w:b/>
          <w:bCs/>
        </w:rPr>
        <w:lastRenderedPageBreak/>
        <w:t>1. Rashodi po ekonomskoj klasifikaciji</w:t>
      </w:r>
    </w:p>
    <w:p w14:paraId="33F97E97" w14:textId="77777777" w:rsidR="00CD06DF" w:rsidRPr="00EC4B19" w:rsidRDefault="00CD06DF" w:rsidP="00CD06DF">
      <w:pPr>
        <w:jc w:val="left"/>
      </w:pPr>
    </w:p>
    <w:p w14:paraId="057A3995" w14:textId="77777777" w:rsidR="00CD06DF" w:rsidRPr="00EC4B19" w:rsidRDefault="00CD06DF" w:rsidP="00CD06DF">
      <w:pPr>
        <w:numPr>
          <w:ilvl w:val="1"/>
          <w:numId w:val="0"/>
        </w:numPr>
        <w:spacing w:after="200" w:line="276" w:lineRule="auto"/>
        <w:jc w:val="left"/>
        <w:rPr>
          <w:rFonts w:eastAsia="Calibri"/>
          <w:b/>
          <w:szCs w:val="22"/>
          <w:u w:val="single"/>
          <w:lang w:eastAsia="en-US"/>
        </w:rPr>
      </w:pPr>
      <w:r w:rsidRPr="00EC4B19">
        <w:rPr>
          <w:rFonts w:eastAsia="Calibri"/>
          <w:b/>
          <w:szCs w:val="22"/>
          <w:u w:val="single"/>
          <w:lang w:eastAsia="en-US"/>
        </w:rPr>
        <w:t>Rashodi poslovanja</w:t>
      </w:r>
    </w:p>
    <w:p w14:paraId="3CFFAA9F" w14:textId="77777777" w:rsidR="00CD06DF" w:rsidRPr="00EC4B19" w:rsidRDefault="00CD06DF" w:rsidP="00CD06DF">
      <w:r w:rsidRPr="00EC4B19">
        <w:t xml:space="preserve">Rashodi poslovanja u 2025. godini izvršeni su u iznosu od 33,9 milijardi eura, odnosno 98,5% planiranih sredstava te su u odnosu na prethodnu godinu povećani za 8,8%. </w:t>
      </w:r>
    </w:p>
    <w:p w14:paraId="37417705" w14:textId="77777777" w:rsidR="00CD06DF" w:rsidRPr="00EC4B19" w:rsidRDefault="00CD06DF" w:rsidP="00CD06DF">
      <w:pPr>
        <w:rPr>
          <w:b/>
        </w:rPr>
      </w:pPr>
    </w:p>
    <w:p w14:paraId="657FCBD0" w14:textId="2529A256" w:rsidR="00CD06DF" w:rsidRPr="00EC4B19" w:rsidRDefault="004C74E9" w:rsidP="00CD06DF">
      <w:pPr>
        <w:rPr>
          <w:b/>
        </w:rPr>
      </w:pPr>
      <w:r w:rsidRPr="00EC4B19">
        <w:rPr>
          <w:b/>
        </w:rPr>
        <w:t>Tablica 5</w:t>
      </w:r>
      <w:r w:rsidR="00CD06DF" w:rsidRPr="00EC4B19">
        <w:rPr>
          <w:b/>
        </w:rPr>
        <w:t>: Rashodi poslovanja u 2024. i 2025. godini</w:t>
      </w:r>
    </w:p>
    <w:p w14:paraId="72BAD1F6" w14:textId="77777777" w:rsidR="00CD06DF" w:rsidRPr="00EC4B19" w:rsidRDefault="00CD06DF" w:rsidP="00CD06DF">
      <w:r w:rsidRPr="00EC4B19">
        <w:rPr>
          <w:noProof/>
        </w:rPr>
        <w:drawing>
          <wp:inline distT="0" distB="0" distL="0" distR="0" wp14:anchorId="6D901CB2" wp14:editId="4CA9DA24">
            <wp:extent cx="5760720" cy="1597459"/>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1597459"/>
                    </a:xfrm>
                    <a:prstGeom prst="rect">
                      <a:avLst/>
                    </a:prstGeom>
                    <a:noFill/>
                    <a:ln>
                      <a:noFill/>
                    </a:ln>
                  </pic:spPr>
                </pic:pic>
              </a:graphicData>
            </a:graphic>
          </wp:inline>
        </w:drawing>
      </w:r>
    </w:p>
    <w:p w14:paraId="0415BDB0" w14:textId="77777777" w:rsidR="00CD06DF" w:rsidRPr="00EC4B19" w:rsidRDefault="00CD06DF" w:rsidP="00CD06DF"/>
    <w:p w14:paraId="511AAB07" w14:textId="77777777" w:rsidR="00CD06DF" w:rsidRPr="00EC4B19" w:rsidRDefault="00CD06DF" w:rsidP="00CD06DF">
      <w:r w:rsidRPr="00EC4B19">
        <w:t>U strukturi rashoda poslovanja najveći udio od 35,5% čine naknade građanima i kućanstvima na temelju osiguranja i druge naknade, a slijede pomoći dane u inozemstvo i unutar općeg proračuna s udjelom od 21,7% te rashodi za zaposlene s udjelom od 18,5%.</w:t>
      </w:r>
    </w:p>
    <w:p w14:paraId="07201E30" w14:textId="77777777" w:rsidR="00CD06DF" w:rsidRPr="00EC4B19" w:rsidRDefault="00CD06DF" w:rsidP="00CD06DF"/>
    <w:p w14:paraId="7632C777" w14:textId="455F5D40" w:rsidR="00CD06DF" w:rsidRPr="00EC4B19" w:rsidRDefault="004C74E9" w:rsidP="00CD06DF">
      <w:pPr>
        <w:rPr>
          <w:b/>
        </w:rPr>
      </w:pPr>
      <w:r w:rsidRPr="00EC4B19">
        <w:rPr>
          <w:b/>
        </w:rPr>
        <w:t>Grafikon 5</w:t>
      </w:r>
      <w:r w:rsidR="00CD06DF" w:rsidRPr="00EC4B19">
        <w:rPr>
          <w:b/>
        </w:rPr>
        <w:t>: Struktura izvršenja rashoda poslovanja u 2025. godini po skupinama rashoda ekonomske klasifikacije</w:t>
      </w:r>
    </w:p>
    <w:p w14:paraId="05ED7212" w14:textId="77777777" w:rsidR="009C688A" w:rsidRDefault="009C688A" w:rsidP="00CD06DF"/>
    <w:p w14:paraId="497399A1" w14:textId="2340BF09" w:rsidR="00CD06DF" w:rsidRPr="00EC4B19" w:rsidRDefault="00CD06DF" w:rsidP="00CD06DF">
      <w:r w:rsidRPr="00EC4B19">
        <w:rPr>
          <w:noProof/>
        </w:rPr>
        <w:drawing>
          <wp:inline distT="0" distB="0" distL="0" distR="0" wp14:anchorId="2B226C20" wp14:editId="629AC151">
            <wp:extent cx="5760720" cy="4222115"/>
            <wp:effectExtent l="0" t="0" r="0" b="6985"/>
            <wp:docPr id="13" name="Grafikon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2D998D7" w14:textId="263E5B66" w:rsidR="00CD06DF" w:rsidRDefault="00CD06DF" w:rsidP="00CD06DF">
      <w:pPr>
        <w:rPr>
          <w:b/>
          <w:i/>
          <w:iCs/>
        </w:rPr>
      </w:pPr>
    </w:p>
    <w:p w14:paraId="20C96AC4" w14:textId="77777777" w:rsidR="00CD06DF" w:rsidRPr="00EC4B19" w:rsidRDefault="00CD06DF" w:rsidP="00CD06DF">
      <w:pPr>
        <w:rPr>
          <w:b/>
          <w:i/>
          <w:iCs/>
        </w:rPr>
      </w:pPr>
      <w:r w:rsidRPr="00EC4B19">
        <w:rPr>
          <w:b/>
          <w:i/>
          <w:iCs/>
        </w:rPr>
        <w:lastRenderedPageBreak/>
        <w:t>Rashodi za zaposlene</w:t>
      </w:r>
    </w:p>
    <w:p w14:paraId="6A11A204" w14:textId="77777777" w:rsidR="00CD06DF" w:rsidRPr="00EC4B19" w:rsidRDefault="00CD06DF" w:rsidP="00CD06DF"/>
    <w:p w14:paraId="418151DD" w14:textId="77777777" w:rsidR="00CD06DF" w:rsidRPr="00EC4B19" w:rsidRDefault="00CD06DF" w:rsidP="00CD06DF">
      <w:r w:rsidRPr="00EC4B19">
        <w:t>Rashodi za zaposlene u 2025. godini izvršeni su u iznosu od 6,3 milijarde eura što predstavlja 98,7% planiranih rashoda za zaposlene. U odnosu na prethodnu godinu povećani su za 10,8% odnosno 609,1 milijun eura.</w:t>
      </w:r>
    </w:p>
    <w:p w14:paraId="192E6008" w14:textId="77777777" w:rsidR="00CD06DF" w:rsidRPr="00EC4B19" w:rsidRDefault="00CD06DF" w:rsidP="00CD06DF"/>
    <w:p w14:paraId="2326D718" w14:textId="77777777" w:rsidR="00CD06DF" w:rsidRPr="00EC4B19" w:rsidRDefault="00CD06DF" w:rsidP="00CD06DF">
      <w:r w:rsidRPr="00EC4B19">
        <w:t xml:space="preserve">Rashodi za zaposlene u osnovnim i srednjim školama, koji se od 2020. godine iskazuju u okviru skupine 36 </w:t>
      </w:r>
      <w:r w:rsidRPr="00EC4B19">
        <w:rPr>
          <w:i/>
        </w:rPr>
        <w:t>Pomoći dane u inozemstvo i unutar općeg proračuna</w:t>
      </w:r>
      <w:r w:rsidRPr="00EC4B19">
        <w:t xml:space="preserve"> u 2025. godini izvršeni su u iznosu od 2,1 milijardu eura. U odnosu na 2024. godinu povećani su za 8,3% odnosno 158,5 milijuna eura.</w:t>
      </w:r>
    </w:p>
    <w:p w14:paraId="24167270" w14:textId="77777777" w:rsidR="00CD06DF" w:rsidRPr="00EC4B19" w:rsidRDefault="00CD06DF" w:rsidP="00CD06DF"/>
    <w:p w14:paraId="0C30E771" w14:textId="77777777" w:rsidR="00CD06DF" w:rsidRPr="00EC4B19" w:rsidRDefault="00CD06DF" w:rsidP="00CD06DF">
      <w:r w:rsidRPr="00EC4B19">
        <w:t xml:space="preserve">Uključivanjem navedenog iznosa u ukupne rashode za zaposlene, isti su u 2025. godini izvršeni u iznosu od 8,3 milijarde eura te su u odnosu na 2024. godinu povećani za 10,1% odnosno 767,5 milijuna eura. </w:t>
      </w:r>
    </w:p>
    <w:p w14:paraId="4B2B88BB" w14:textId="77777777" w:rsidR="00CD06DF" w:rsidRPr="00EC4B19" w:rsidRDefault="00CD06DF" w:rsidP="00CD06DF"/>
    <w:p w14:paraId="60294DFD" w14:textId="77777777" w:rsidR="00CD06DF" w:rsidRPr="00EC4B19" w:rsidRDefault="00CD06DF" w:rsidP="00CD06DF">
      <w:r w:rsidRPr="00EC4B19">
        <w:t xml:space="preserve">Kao što je već uvodno spomenuto, navedeno povećanje je rezultat pune primjene Zakona o plaćama u državnoj službi i javnim službama (Narodne novine, broj 155/23.) te drugih propisa kojima se reguliraju plaće zaposlenika u državnoj službi i javnim službama. </w:t>
      </w:r>
    </w:p>
    <w:p w14:paraId="2BA1DDDE" w14:textId="77777777" w:rsidR="00CD06DF" w:rsidRPr="00EC4B19" w:rsidRDefault="00CD06DF" w:rsidP="00CD06DF"/>
    <w:p w14:paraId="7BC96A42" w14:textId="77777777" w:rsidR="00CD06DF" w:rsidRPr="00EC4B19" w:rsidRDefault="00CD06DF" w:rsidP="00CD06DF"/>
    <w:p w14:paraId="78FE534B" w14:textId="77777777" w:rsidR="00CD06DF" w:rsidRPr="00EC4B19" w:rsidRDefault="00CD06DF" w:rsidP="00CD06DF">
      <w:pPr>
        <w:rPr>
          <w:b/>
          <w:i/>
          <w:iCs/>
        </w:rPr>
      </w:pPr>
      <w:r w:rsidRPr="00EC4B19">
        <w:rPr>
          <w:b/>
          <w:i/>
          <w:iCs/>
        </w:rPr>
        <w:t xml:space="preserve">Materijalni rashodi </w:t>
      </w:r>
    </w:p>
    <w:p w14:paraId="4FCE650C" w14:textId="77777777" w:rsidR="00CD06DF" w:rsidRPr="00EC4B19" w:rsidRDefault="00CD06DF" w:rsidP="00CD06DF">
      <w:pPr>
        <w:rPr>
          <w:b/>
          <w:i/>
          <w:iCs/>
        </w:rPr>
      </w:pPr>
    </w:p>
    <w:p w14:paraId="3C07607D" w14:textId="77777777" w:rsidR="00CD06DF" w:rsidRPr="00EC4B19" w:rsidRDefault="00CD06DF" w:rsidP="00CD06DF">
      <w:r w:rsidRPr="00EC4B19">
        <w:t>Materijalni rashodi u 2025. godini izvršeni su u iznosu od 3,7 milijardi eura, što predstavlja 96,5% planiranih sredstava. U odnosu na 2024. godinu povećani su za 437,9 milijuna eura odnosno 13,6% što je najvećim dijelom rezultat povećanog izvršenja rashoda po osnovi utroška lijekova i potrošnog medicinskog materijala kod zdravstvenih ustanova te povećanih rashoda za usluge.</w:t>
      </w:r>
    </w:p>
    <w:p w14:paraId="020D812B" w14:textId="77777777" w:rsidR="00CD06DF" w:rsidRPr="00EC4B19" w:rsidRDefault="00CD06DF" w:rsidP="00CD06DF">
      <w:pPr>
        <w:rPr>
          <w:b/>
        </w:rPr>
      </w:pPr>
    </w:p>
    <w:p w14:paraId="5B20F55C" w14:textId="672FEADA" w:rsidR="00CD06DF" w:rsidRPr="00EC4B19" w:rsidRDefault="004C74E9" w:rsidP="00CD06DF">
      <w:r w:rsidRPr="00EC4B19">
        <w:rPr>
          <w:b/>
        </w:rPr>
        <w:t>Tablica 6</w:t>
      </w:r>
      <w:r w:rsidR="00CD06DF" w:rsidRPr="00EC4B19">
        <w:rPr>
          <w:b/>
        </w:rPr>
        <w:t xml:space="preserve">: Materijalni rashodi u 2024. i 2025. godini </w:t>
      </w:r>
    </w:p>
    <w:p w14:paraId="1A71A0BF" w14:textId="77777777" w:rsidR="00CD06DF" w:rsidRPr="00EC4B19" w:rsidRDefault="00CD06DF" w:rsidP="00CD06DF">
      <w:r w:rsidRPr="00EC4B19">
        <w:rPr>
          <w:noProof/>
        </w:rPr>
        <w:drawing>
          <wp:inline distT="0" distB="0" distL="0" distR="0" wp14:anchorId="65F73B62" wp14:editId="58ADFB36">
            <wp:extent cx="5760720" cy="1545078"/>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545078"/>
                    </a:xfrm>
                    <a:prstGeom prst="rect">
                      <a:avLst/>
                    </a:prstGeom>
                    <a:noFill/>
                    <a:ln>
                      <a:noFill/>
                    </a:ln>
                  </pic:spPr>
                </pic:pic>
              </a:graphicData>
            </a:graphic>
          </wp:inline>
        </w:drawing>
      </w:r>
    </w:p>
    <w:p w14:paraId="14306D19" w14:textId="77777777" w:rsidR="00CD06DF" w:rsidRPr="00EC4B19" w:rsidRDefault="00CD06DF" w:rsidP="00CD06DF"/>
    <w:p w14:paraId="20D603EB" w14:textId="77777777" w:rsidR="00CD06DF" w:rsidRPr="00EC4B19" w:rsidRDefault="00CD06DF" w:rsidP="00CD06DF">
      <w:r w:rsidRPr="00EC4B19">
        <w:t xml:space="preserve">Unutar skupine materijalni rashodi najznačajniji iznos od 1,6 milijardi eura odnosi se na </w:t>
      </w:r>
      <w:r w:rsidRPr="00EC4B19">
        <w:rPr>
          <w:i/>
        </w:rPr>
        <w:t>Rashode za usluge</w:t>
      </w:r>
      <w:r w:rsidRPr="00EC4B19">
        <w:t xml:space="preserve">. Rashodi za usluge najvećim dijelom izvršeni su unutar sustava zdravstva, policije, obrane i obrazovanja. U odnosu na prethodnu godinu rashodi za usluge veći su za 12,0%, odnosno 167,3 milijuna eura. </w:t>
      </w:r>
    </w:p>
    <w:p w14:paraId="4D610BD0" w14:textId="77777777" w:rsidR="00CD06DF" w:rsidRPr="00EC4B19" w:rsidRDefault="00CD06DF" w:rsidP="00CD06DF"/>
    <w:p w14:paraId="1F0F024E" w14:textId="77777777" w:rsidR="00CD06DF" w:rsidRPr="00EC4B19" w:rsidRDefault="00CD06DF" w:rsidP="00CD06DF">
      <w:r w:rsidRPr="00EC4B19">
        <w:rPr>
          <w:i/>
        </w:rPr>
        <w:t xml:space="preserve">Rashodi lijekova i potrošnog medicinskog materijala kod zdravstvenih ustanova </w:t>
      </w:r>
      <w:r w:rsidRPr="00EC4B19">
        <w:t xml:space="preserve">izvršeni su u iznosu od 1,2 milijarde eura. U okviru ovih rashoda iznos od 828,8 milijuna eura odnosi se na rashode za lijekove, dok se iznos od 407,6 milijuna eura odnosi na rashode potrošnog medicinskog materijala. U 2025. godini u primjeni je novi Pravilnik o proračunskom računovodstvu i Računskom planu (Narodne novine, broj 158/23. i 154/24.) temeljem kojeg je, radi bolje transparentnosti i boljeg praćenja zaliha, obveza te rashoda za lijekove i potrošni </w:t>
      </w:r>
      <w:r w:rsidRPr="00EC4B19">
        <w:lastRenderedPageBreak/>
        <w:t>medicinski materijal, otvorena nova podskupina Materijalnih rashoda 325 Rashodi lijekova i potrošnog medicinskog materijala kod zdravstvenih ustanova.</w:t>
      </w:r>
    </w:p>
    <w:p w14:paraId="1DD838B7" w14:textId="77777777" w:rsidR="00CD06DF" w:rsidRPr="00EC4B19" w:rsidRDefault="00CD06DF" w:rsidP="00CD06DF"/>
    <w:p w14:paraId="0B0477CF" w14:textId="77777777" w:rsidR="00CD06DF" w:rsidRPr="00EC4B19" w:rsidRDefault="00CD06DF" w:rsidP="00CD06DF">
      <w:r w:rsidRPr="00EC4B19">
        <w:t xml:space="preserve">S obzirom da su do kraja 2024. godine rashodi za lijekove te pomoćni i sanitetski materijal zdravstvenih ustanova evidentirani unutar skupine 322 Rashodi za materijal i energiju isti su u 2025. godini izvršeni za 70,5% manje u odnosu na prethodnu godinu te iznose 428,1 milijuna eura. U okviru ovih rashoda najznačajniji iznosi odnose se na rashode za energiju 147,0 milijuna eura te 115,9 milijuna eura za materijal i sirovine. </w:t>
      </w:r>
    </w:p>
    <w:p w14:paraId="457503EF" w14:textId="77777777" w:rsidR="00CD06DF" w:rsidRPr="00EC4B19" w:rsidRDefault="00CD06DF" w:rsidP="00CD06DF">
      <w:pPr>
        <w:rPr>
          <w:i/>
        </w:rPr>
      </w:pPr>
    </w:p>
    <w:p w14:paraId="3524C975" w14:textId="77777777" w:rsidR="00CD06DF" w:rsidRPr="00EC4B19" w:rsidRDefault="00CD06DF" w:rsidP="00CD06DF">
      <w:r w:rsidRPr="00EC4B19">
        <w:rPr>
          <w:i/>
        </w:rPr>
        <w:t xml:space="preserve">Naknade troškova zaposlenima </w:t>
      </w:r>
      <w:r w:rsidRPr="00EC4B19">
        <w:t>izvršene su u iznosu od 240,7 milijun eura. U okviru ovih rashoda najznačajniji iznos od 157,1 milijuna eura odnosi se na naknade za prijevoz, za rad na terenu i odvojeni život, dok se 57,9 milijuna eura odnosi na rashode za službena putovanja.</w:t>
      </w:r>
    </w:p>
    <w:p w14:paraId="5F515AFA" w14:textId="77777777" w:rsidR="00CD06DF" w:rsidRPr="00EC4B19" w:rsidRDefault="00CD06DF" w:rsidP="00CD06DF"/>
    <w:p w14:paraId="4F1C21FB" w14:textId="77777777" w:rsidR="00CD06DF" w:rsidRPr="00EC4B19" w:rsidRDefault="00CD06DF" w:rsidP="00CD06DF"/>
    <w:p w14:paraId="05506903" w14:textId="77777777" w:rsidR="00CD06DF" w:rsidRPr="00EC4B19" w:rsidRDefault="00CD06DF" w:rsidP="00CD06DF">
      <w:pPr>
        <w:rPr>
          <w:b/>
          <w:i/>
          <w:iCs/>
        </w:rPr>
      </w:pPr>
      <w:r w:rsidRPr="00EC4B19">
        <w:rPr>
          <w:b/>
          <w:i/>
          <w:iCs/>
        </w:rPr>
        <w:t xml:space="preserve">Financijski rashodi </w:t>
      </w:r>
    </w:p>
    <w:p w14:paraId="78D94EDC" w14:textId="77777777" w:rsidR="00CD06DF" w:rsidRPr="00EC4B19" w:rsidRDefault="00CD06DF" w:rsidP="00CD06DF"/>
    <w:p w14:paraId="43B345A8" w14:textId="77777777" w:rsidR="00CD06DF" w:rsidRPr="00EC4B19" w:rsidRDefault="00CD06DF" w:rsidP="00CD06DF">
      <w:r w:rsidRPr="00EC4B19">
        <w:t>Financijski rashodi u 2025. godini izvršeni su u iznosu od 1,2 milijarde eura, što predstavlja 99,3 % planiranih rashoda za 2025. godinu te su u odnosu na prethodnu godinu veći za 43,3 milijuna eura, odnosno 3,7%.</w:t>
      </w:r>
    </w:p>
    <w:p w14:paraId="4F84220F" w14:textId="77777777" w:rsidR="00CD06DF" w:rsidRPr="00EC4B19" w:rsidRDefault="00CD06DF" w:rsidP="00CD06DF"/>
    <w:p w14:paraId="1B1B8619" w14:textId="55FD5D71" w:rsidR="00CD06DF" w:rsidRPr="00EC4B19" w:rsidRDefault="004C74E9" w:rsidP="00CD06DF">
      <w:pPr>
        <w:rPr>
          <w:b/>
        </w:rPr>
      </w:pPr>
      <w:r w:rsidRPr="00EC4B19">
        <w:rPr>
          <w:b/>
        </w:rPr>
        <w:t>Tablica 7</w:t>
      </w:r>
      <w:r w:rsidR="00CD06DF" w:rsidRPr="00EC4B19">
        <w:rPr>
          <w:b/>
        </w:rPr>
        <w:t>: Financijski rashodi u 2024. i 2025. godini</w:t>
      </w:r>
    </w:p>
    <w:p w14:paraId="09F42F19" w14:textId="77777777" w:rsidR="00CD06DF" w:rsidRPr="00EC4B19" w:rsidRDefault="00CD06DF" w:rsidP="00CD06DF">
      <w:pPr>
        <w:rPr>
          <w:b/>
        </w:rPr>
      </w:pPr>
      <w:r w:rsidRPr="00EC4B19">
        <w:rPr>
          <w:noProof/>
        </w:rPr>
        <w:drawing>
          <wp:inline distT="0" distB="0" distL="0" distR="0" wp14:anchorId="258B33F1" wp14:editId="6854588D">
            <wp:extent cx="5760720" cy="116734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1167340"/>
                    </a:xfrm>
                    <a:prstGeom prst="rect">
                      <a:avLst/>
                    </a:prstGeom>
                    <a:noFill/>
                    <a:ln>
                      <a:noFill/>
                    </a:ln>
                  </pic:spPr>
                </pic:pic>
              </a:graphicData>
            </a:graphic>
          </wp:inline>
        </w:drawing>
      </w:r>
    </w:p>
    <w:p w14:paraId="77BF8687" w14:textId="77777777" w:rsidR="00CD06DF" w:rsidRPr="00EC4B19" w:rsidRDefault="00CD06DF" w:rsidP="00CD06DF"/>
    <w:p w14:paraId="0998EEF2" w14:textId="77777777" w:rsidR="00CD06DF" w:rsidRPr="00EC4B19" w:rsidRDefault="00CD06DF" w:rsidP="00CD06DF">
      <w:r w:rsidRPr="00EC4B19">
        <w:t xml:space="preserve">Najveći udio u ukupnom izvršenju financijskih rashoda od 90,6% čine rashodi za kamate, odnosno rashodi za kamate na izdane vrijednosne papire i kamate za primljene kredite i zajmove koji su u odnosu na isto razdoblje prethodne godine veći za 1,7%. </w:t>
      </w:r>
    </w:p>
    <w:p w14:paraId="4B135DCE" w14:textId="77777777" w:rsidR="00CD06DF" w:rsidRPr="00EC4B19" w:rsidRDefault="00CD06DF" w:rsidP="00CD06DF"/>
    <w:p w14:paraId="410281E6" w14:textId="77777777" w:rsidR="00CD06DF" w:rsidRPr="00EC4B19" w:rsidRDefault="00CD06DF" w:rsidP="00CD06DF">
      <w:pPr>
        <w:rPr>
          <w:b/>
          <w:i/>
          <w:iCs/>
        </w:rPr>
      </w:pPr>
    </w:p>
    <w:p w14:paraId="183E3B22" w14:textId="77777777" w:rsidR="00CD06DF" w:rsidRPr="00EC4B19" w:rsidRDefault="00CD06DF" w:rsidP="00CD06DF">
      <w:pPr>
        <w:rPr>
          <w:b/>
          <w:i/>
          <w:iCs/>
        </w:rPr>
      </w:pPr>
      <w:r w:rsidRPr="00EC4B19">
        <w:rPr>
          <w:b/>
          <w:i/>
          <w:iCs/>
        </w:rPr>
        <w:t>Subvencije</w:t>
      </w:r>
    </w:p>
    <w:p w14:paraId="266F5461" w14:textId="77777777" w:rsidR="00CD06DF" w:rsidRPr="00EC4B19" w:rsidRDefault="00CD06DF" w:rsidP="00CD06DF">
      <w:pPr>
        <w:rPr>
          <w:b/>
          <w:i/>
        </w:rPr>
      </w:pPr>
    </w:p>
    <w:p w14:paraId="1804DC97" w14:textId="77777777" w:rsidR="00CD06DF" w:rsidRPr="00EC4B19" w:rsidRDefault="00CD06DF" w:rsidP="00CD06DF">
      <w:r w:rsidRPr="00EC4B19">
        <w:t xml:space="preserve">Rashodi za subvencije u 2025. godini izvršeni su u iznosu od 1,6 milijardi eura, što predstavlja 97,3% planiranih sredstava. U odnosu na prethodnu godinu rashodi za subvencije smanjeni su za 732,2 milijuna eura, odnosno 30,8% prvenstveno radi smanjenog izdvajanja za subvencije unutar resora Ministarstva gospodarstva. Kao što je već uvodno spomenuto, zbog stabilizacije tržišta i osiguranja potrebne količine plina u 2025. godini više se nisu planirala sredstva u državnom proračunu za osiguranje dostatne zalihe plina u skladištu PSP </w:t>
      </w:r>
      <w:proofErr w:type="spellStart"/>
      <w:r w:rsidRPr="00EC4B19">
        <w:t>Okoli</w:t>
      </w:r>
      <w:proofErr w:type="spellEnd"/>
      <w:r w:rsidRPr="00EC4B19">
        <w:t xml:space="preserve">, za koje je u 2024. isplaćen iznos od 298,5 milijuna eura. Također, u 2024. godini društvu Hrvatskoj elektroprivredi d.d. nadoknađen je dio razlike u cijeni električne energije za razdoblje od 1. listopada 2022. do 31. ožujka 2023. godine u iznosu od 415,4 milijuna eura te razlika u cijeni toplinske energije za razdoblje od 1. listopada 2022. do 30. rujna 2023. godine u iznosu od 132,9 milijuna eura. </w:t>
      </w:r>
    </w:p>
    <w:p w14:paraId="0D8F4E0C" w14:textId="77777777" w:rsidR="00CD06DF" w:rsidRPr="00EC4B19" w:rsidRDefault="00CD06DF" w:rsidP="00CD06DF"/>
    <w:p w14:paraId="4DB1D6E2" w14:textId="77777777" w:rsidR="00CD06DF" w:rsidRPr="00EC4B19" w:rsidRDefault="00CD06DF" w:rsidP="00CD06DF">
      <w:r w:rsidRPr="00EC4B19">
        <w:t xml:space="preserve">Najznačajniji iznos subvencija u 2025. godini isplaćen je unutar resora Ministarstva poljoprivrede, šumarstva i ribarstva u ukupnom iznosu od 684,2 milijuna eura i to najvećim </w:t>
      </w:r>
      <w:r w:rsidRPr="00EC4B19">
        <w:lastRenderedPageBreak/>
        <w:t>dijelom unutar programa Poljoprivreda i Ruralni razvoj za koje je izdvojeno 661,7 milijuna eura.</w:t>
      </w:r>
    </w:p>
    <w:p w14:paraId="3A8D829B" w14:textId="77777777" w:rsidR="00CD06DF" w:rsidRPr="00EC4B19" w:rsidRDefault="00CD06DF" w:rsidP="00CD06DF"/>
    <w:p w14:paraId="61D83A5D" w14:textId="77777777" w:rsidR="00CD06DF" w:rsidRPr="00EC4B19" w:rsidRDefault="00CD06DF" w:rsidP="00CD06DF">
      <w:r w:rsidRPr="00EC4B19">
        <w:t xml:space="preserve">U okviru programa Poljoprivreda izdvojeno je 444,9 milijuna eura rashoda za subvencije i to najvećim dijelom za izravna plaćanja poljoprivrednim proizvođačima u iznosu od 362,2 milijuna eura. </w:t>
      </w:r>
    </w:p>
    <w:p w14:paraId="3F43FB9E" w14:textId="77777777" w:rsidR="00CD06DF" w:rsidRPr="00EC4B19" w:rsidRDefault="00CD06DF" w:rsidP="00CD06DF"/>
    <w:p w14:paraId="2E18C393" w14:textId="77777777" w:rsidR="00CD06DF" w:rsidRPr="00EC4B19" w:rsidRDefault="00CD06DF" w:rsidP="00CD06DF">
      <w:r w:rsidRPr="00EC4B19">
        <w:t xml:space="preserve">Za program Ruralni razvoj u 2025. godini izdvojeno je 216,8 milijuna eura i to najvećim dijelom za ZPP mjere ruralnog razvoja u iznosu od 210,3 milijuna eura. Program Ruralni razvoj, osim na ovoj skupini rashoda, planira se i izvršava i na ostalim skupinama rashoda. U 2025. godini ukupno je za program Ruralni razvoj (sve skupine rashoda) izdvojeno 423,1 milijun eura. </w:t>
      </w:r>
    </w:p>
    <w:p w14:paraId="0713BCD1" w14:textId="77777777" w:rsidR="00CD06DF" w:rsidRPr="00EC4B19" w:rsidRDefault="00CD06DF" w:rsidP="00CD06DF"/>
    <w:p w14:paraId="1B3F4C4F" w14:textId="77777777" w:rsidR="00CD06DF" w:rsidRPr="00EC4B19" w:rsidRDefault="00CD06DF" w:rsidP="00CD06DF">
      <w:r w:rsidRPr="00EC4B19">
        <w:t>Subvencije unutar resora Ministarstva gospodarstva u 2025. godini izvršene su u ukupnom iznosu od 391,8 milijuna eura i to najvećim dijelom za podmirenje naknade za energente u iznosu od 371,1 milijun eura, i to:</w:t>
      </w:r>
    </w:p>
    <w:p w14:paraId="665F36E2" w14:textId="77777777" w:rsidR="00CD06DF" w:rsidRPr="00EC4B19" w:rsidRDefault="00CD06DF" w:rsidP="00CD06DF">
      <w:pPr>
        <w:numPr>
          <w:ilvl w:val="0"/>
          <w:numId w:val="27"/>
        </w:numPr>
        <w:contextualSpacing/>
      </w:pPr>
      <w:r w:rsidRPr="00EC4B19">
        <w:t>iznos od 239,4 milijuna eura isplaćen je energetskim subjektima temeljem Uredbe Vlade Republike Hrvatske o otklanjanju poremećaja na domaćem tržištu energije i</w:t>
      </w:r>
    </w:p>
    <w:p w14:paraId="6DC9612D" w14:textId="77777777" w:rsidR="00CD06DF" w:rsidRPr="00EC4B19" w:rsidRDefault="00CD06DF" w:rsidP="00CD06DF">
      <w:pPr>
        <w:numPr>
          <w:ilvl w:val="0"/>
          <w:numId w:val="27"/>
        </w:numPr>
        <w:contextualSpacing/>
      </w:pPr>
      <w:r w:rsidRPr="00EC4B19">
        <w:t xml:space="preserve">iznos od 131,6 milijuna eura kojim je nadoknađen preostali iznos razlike u cijeni električne energije društvu Hrvatska elektroprivreda d.d. za razdoblje od 1. listopada 2022. do 31. ožujka 2023. godine temeljem Odluke Vlade Republike Hrvatske o nadoknadi razlike cijene električne energije društvu Hrvatska elektroprivreda i provedbenim aktivnostima. </w:t>
      </w:r>
    </w:p>
    <w:p w14:paraId="61A1FCD2" w14:textId="77777777" w:rsidR="00CD06DF" w:rsidRPr="00EC4B19" w:rsidRDefault="00CD06DF" w:rsidP="00CD06DF">
      <w:pPr>
        <w:spacing w:before="240" w:after="240"/>
      </w:pPr>
      <w:r w:rsidRPr="00EC4B19">
        <w:t>Subvencije u resoru Ministarstva mora, prometa i infrastrukture</w:t>
      </w:r>
      <w:r w:rsidRPr="00EC4B19">
        <w:rPr>
          <w:b/>
        </w:rPr>
        <w:t xml:space="preserve"> </w:t>
      </w:r>
      <w:r w:rsidRPr="00EC4B19">
        <w:t xml:space="preserve">u 2025. godini izvršene su u iznosu od 198,2 milijuna eura. Za poticanje redovitih pomorskih putničkih i </w:t>
      </w:r>
      <w:proofErr w:type="spellStart"/>
      <w:r w:rsidRPr="00EC4B19">
        <w:t>brzobrodskih</w:t>
      </w:r>
      <w:proofErr w:type="spellEnd"/>
      <w:r w:rsidRPr="00EC4B19">
        <w:t xml:space="preserve"> linija utrošeno je 96,1 milijun eura, dok je za provedbu ugovora o koncesijama (Bina-Istra, autocesta Zagreb - Macelj) utrošeno 42,9 milijuna eura. Nadalje, za očuvanje prometne povezanosti regija (domaći linijski zračni prijevoz) isplaćeno 29,4 milijuna eura. </w:t>
      </w:r>
    </w:p>
    <w:p w14:paraId="1E6CFFB3" w14:textId="77777777" w:rsidR="00CD06DF" w:rsidRPr="00EC4B19" w:rsidRDefault="00CD06DF" w:rsidP="00CD06DF">
      <w:r w:rsidRPr="00EC4B19">
        <w:t xml:space="preserve">U resoru Ministarstva rada, mirovinskoga sustava, obitelji i socijalne politike unutar programa Aktivna politika tržišta rada u 2025. godini isplaćeno je 142,5 milijuna eura subvencija i to najvećim dijelom za provedbu projekta Program učinkoviti ljudski potencijali 2021.-2027. unutar kojeg se provode mjere aktivne politike zapošljavanja, uključujući i mjere za mlade. </w:t>
      </w:r>
    </w:p>
    <w:p w14:paraId="569A2FB9" w14:textId="546A1BEC" w:rsidR="00CD06DF" w:rsidRDefault="00CD06DF" w:rsidP="00FA0E4A"/>
    <w:p w14:paraId="05BE095A" w14:textId="77777777" w:rsidR="00FA0E4A" w:rsidRPr="00EC4B19" w:rsidRDefault="00FA0E4A" w:rsidP="00FA0E4A"/>
    <w:p w14:paraId="7425A0CC" w14:textId="77777777" w:rsidR="00CD06DF" w:rsidRPr="00FA0E4A" w:rsidRDefault="00CD06DF" w:rsidP="00CD06DF">
      <w:pPr>
        <w:rPr>
          <w:b/>
        </w:rPr>
      </w:pPr>
      <w:r w:rsidRPr="00FA0E4A">
        <w:rPr>
          <w:b/>
        </w:rPr>
        <w:t>Pomoći dane u inozemstvo i unutar općeg proračuna</w:t>
      </w:r>
    </w:p>
    <w:p w14:paraId="6296B515" w14:textId="77777777" w:rsidR="00CD06DF" w:rsidRPr="00EC4B19" w:rsidRDefault="00CD06DF" w:rsidP="00CD06DF">
      <w:pPr>
        <w:rPr>
          <w:b/>
          <w:i/>
        </w:rPr>
      </w:pPr>
    </w:p>
    <w:p w14:paraId="4AADD3F3" w14:textId="77777777" w:rsidR="00CD06DF" w:rsidRPr="00EC4B19" w:rsidRDefault="00CD06DF" w:rsidP="00CD06DF">
      <w:r w:rsidRPr="00EC4B19">
        <w:t>Pomoći dane u inozemstvo i unutar općeg proračuna u 2025. godini izvršene su u iznosu od 7,3 milijarde eura, odnosno 97,9% planiranih sredstava. U odnosu na prethodnu godinu pomoći dane u inozemstvo i unutar općeg proračuna povećane su za 638,4 milijuna eura, odnosno 9,5% i to najvećim dijelom radi većeg izdvajanja za pomoći lokalnoj i područnoj (regionalnoj) samoupravi.</w:t>
      </w:r>
    </w:p>
    <w:p w14:paraId="09A8EBA5" w14:textId="77777777" w:rsidR="00CD06DF" w:rsidRPr="00EC4B19" w:rsidRDefault="00CD06DF" w:rsidP="00CD06DF"/>
    <w:p w14:paraId="3064CEAB" w14:textId="3D3C1AD0" w:rsidR="00CD06DF" w:rsidRPr="00EC4B19" w:rsidRDefault="00CD06DF" w:rsidP="00CD06DF">
      <w:pPr>
        <w:pStyle w:val="Opisslike"/>
        <w:keepNext/>
        <w:rPr>
          <w:b/>
          <w:i w:val="0"/>
          <w:iCs w:val="0"/>
          <w:color w:val="auto"/>
          <w:sz w:val="24"/>
          <w:szCs w:val="24"/>
        </w:rPr>
      </w:pPr>
      <w:r w:rsidRPr="00EC4B19">
        <w:rPr>
          <w:b/>
          <w:i w:val="0"/>
          <w:iCs w:val="0"/>
          <w:color w:val="auto"/>
          <w:sz w:val="24"/>
          <w:szCs w:val="24"/>
        </w:rPr>
        <w:lastRenderedPageBreak/>
        <w:t xml:space="preserve">Grafikon </w:t>
      </w:r>
      <w:r w:rsidR="004C74E9" w:rsidRPr="00EC4B19">
        <w:rPr>
          <w:b/>
          <w:i w:val="0"/>
          <w:iCs w:val="0"/>
          <w:color w:val="auto"/>
          <w:sz w:val="24"/>
          <w:szCs w:val="24"/>
        </w:rPr>
        <w:t>6</w:t>
      </w:r>
      <w:r w:rsidRPr="00EC4B19">
        <w:rPr>
          <w:b/>
          <w:i w:val="0"/>
          <w:iCs w:val="0"/>
          <w:color w:val="auto"/>
          <w:sz w:val="24"/>
          <w:szCs w:val="24"/>
        </w:rPr>
        <w:t>: Struktura izvršenja pomoći dane u inozemstvo i unutar općeg proračuna u 2025. godini</w:t>
      </w:r>
    </w:p>
    <w:p w14:paraId="265932AA" w14:textId="77777777" w:rsidR="00CD06DF" w:rsidRPr="00EC4B19" w:rsidRDefault="00CD06DF" w:rsidP="00CD06DF">
      <w:r w:rsidRPr="00EC4B19">
        <w:rPr>
          <w:noProof/>
        </w:rPr>
        <w:drawing>
          <wp:inline distT="0" distB="0" distL="0" distR="0" wp14:anchorId="06D5F550" wp14:editId="5930BA9A">
            <wp:extent cx="5743575" cy="320216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754" cy="3212855"/>
                    </a:xfrm>
                    <a:prstGeom prst="rect">
                      <a:avLst/>
                    </a:prstGeom>
                    <a:noFill/>
                  </pic:spPr>
                </pic:pic>
              </a:graphicData>
            </a:graphic>
          </wp:inline>
        </w:drawing>
      </w:r>
    </w:p>
    <w:p w14:paraId="46F9749B" w14:textId="77777777" w:rsidR="00CD06DF" w:rsidRPr="00EC4B19" w:rsidRDefault="00CD06DF" w:rsidP="00CD06DF"/>
    <w:p w14:paraId="6AFB37C5" w14:textId="77777777" w:rsidR="00CD06DF" w:rsidRPr="00EC4B19" w:rsidRDefault="00CD06DF" w:rsidP="00CD06DF">
      <w:r w:rsidRPr="00EC4B19">
        <w:rPr>
          <w:i/>
        </w:rPr>
        <w:t>Pomoći dane u inozemstvo</w:t>
      </w:r>
      <w:r w:rsidRPr="00EC4B19">
        <w:t xml:space="preserve"> u 2025. godini izvršene su u iznosu od 921,0 milijun eura, od čega se najznačajniji iznos od 827,9 milijuna eura odnosi na doprinos Republike Hrvatske proračunu Europske unije. </w:t>
      </w:r>
    </w:p>
    <w:p w14:paraId="42977C20" w14:textId="77777777" w:rsidR="00CD06DF" w:rsidRPr="00EC4B19" w:rsidRDefault="00CD06DF" w:rsidP="00CD06DF"/>
    <w:p w14:paraId="48819F55" w14:textId="77777777" w:rsidR="00CD06DF" w:rsidRPr="00EC4B19" w:rsidRDefault="00CD06DF" w:rsidP="00CD06DF">
      <w:r w:rsidRPr="00EC4B19">
        <w:rPr>
          <w:i/>
        </w:rPr>
        <w:t xml:space="preserve">Pomoći lokalnoj i područnoj (regionalnoj) samoupravi </w:t>
      </w:r>
      <w:r w:rsidRPr="00EC4B19">
        <w:t>u 2025. godini izvršene su u iznosu od 3,9 milijardi eura, od čega se najznačajniji iznos od 2,1 milijarda eura odnosi na rashode za zaposlene osnovnih i srednjih škola. Nadalje, jedinicama lokalne i područne (regionalne) samouprave u 2025. godini isplaćeno je i:</w:t>
      </w:r>
    </w:p>
    <w:p w14:paraId="2FCA5333" w14:textId="77777777" w:rsidR="00CD06DF" w:rsidRPr="00EC4B19" w:rsidRDefault="00CD06DF" w:rsidP="00CD06DF">
      <w:pPr>
        <w:pStyle w:val="Odlomakpopisa"/>
        <w:numPr>
          <w:ilvl w:val="0"/>
          <w:numId w:val="22"/>
        </w:numPr>
      </w:pPr>
      <w:r w:rsidRPr="00EC4B19">
        <w:t xml:space="preserve">658,5 milijuna eura pomoći temeljem prijenosa EU sredstava i to najznačajnijim dijelom za projekte izgradnje, dogradnje, rekonstrukcije i opremanja predškolskih ustanova te osnovnih i srednjih škola, program Regionalna konkurentnost i urbani razvoj, program Zaštita kulturnih dobara, Poticanje razvoja turizma, Podizanje kvalitete i dostupnosti socijalne skrbi te za program Energetska učinkovitost u </w:t>
      </w:r>
      <w:proofErr w:type="spellStart"/>
      <w:r w:rsidRPr="00EC4B19">
        <w:t>zgradarstvu</w:t>
      </w:r>
      <w:proofErr w:type="spellEnd"/>
      <w:r w:rsidRPr="00EC4B19">
        <w:t>,</w:t>
      </w:r>
    </w:p>
    <w:p w14:paraId="7FE6A4C3" w14:textId="77777777" w:rsidR="00CD06DF" w:rsidRPr="00EC4B19" w:rsidRDefault="00CD06DF" w:rsidP="00CD06DF">
      <w:pPr>
        <w:pStyle w:val="Odlomakpopisa"/>
        <w:numPr>
          <w:ilvl w:val="0"/>
          <w:numId w:val="22"/>
        </w:numPr>
      </w:pPr>
      <w:r w:rsidRPr="00EC4B19">
        <w:t>490,8 milijuna eura za pomoći izravnavanja za decentralizirane funkcije i fiskalno izravnavanje,</w:t>
      </w:r>
    </w:p>
    <w:p w14:paraId="4E4BD9DB" w14:textId="77777777" w:rsidR="00CD06DF" w:rsidRPr="00EC4B19" w:rsidRDefault="00CD06DF" w:rsidP="00CD06DF">
      <w:pPr>
        <w:pStyle w:val="Odlomakpopisa"/>
        <w:numPr>
          <w:ilvl w:val="0"/>
          <w:numId w:val="22"/>
        </w:numPr>
      </w:pPr>
      <w:r w:rsidRPr="00EC4B19">
        <w:t>85,9 milijuna eura za fiskalnu održivost dječjih vrtića,</w:t>
      </w:r>
    </w:p>
    <w:p w14:paraId="4EF17AB4" w14:textId="77777777" w:rsidR="00CD06DF" w:rsidRPr="00EC4B19" w:rsidRDefault="00CD06DF" w:rsidP="00CD06DF">
      <w:pPr>
        <w:pStyle w:val="Odlomakpopisa"/>
        <w:numPr>
          <w:ilvl w:val="0"/>
          <w:numId w:val="22"/>
        </w:numPr>
      </w:pPr>
      <w:r w:rsidRPr="00EC4B19">
        <w:t>65,9 milijuna eura pomoći za prehranu za učenike u osnovnim školama,</w:t>
      </w:r>
    </w:p>
    <w:p w14:paraId="20FD248F" w14:textId="77777777" w:rsidR="00CD06DF" w:rsidRPr="00EC4B19" w:rsidRDefault="00CD06DF" w:rsidP="00CD06DF">
      <w:pPr>
        <w:pStyle w:val="Odlomakpopisa"/>
        <w:numPr>
          <w:ilvl w:val="0"/>
          <w:numId w:val="22"/>
        </w:numPr>
      </w:pPr>
      <w:r w:rsidRPr="00EC4B19">
        <w:t>41,0 milijuna eura za obavljanje poslova ureda državne uprave u županijama te</w:t>
      </w:r>
    </w:p>
    <w:p w14:paraId="2A703B45" w14:textId="77777777" w:rsidR="00CD06DF" w:rsidRPr="00EC4B19" w:rsidRDefault="00CD06DF" w:rsidP="00CD06DF">
      <w:pPr>
        <w:pStyle w:val="Odlomakpopisa"/>
        <w:numPr>
          <w:ilvl w:val="0"/>
          <w:numId w:val="22"/>
        </w:numPr>
      </w:pPr>
      <w:r w:rsidRPr="00EC4B19">
        <w:t>35,1 milijun eura za javni međumjesni prijevoz za učenike.</w:t>
      </w:r>
    </w:p>
    <w:p w14:paraId="2E9E9E2F" w14:textId="77777777" w:rsidR="00CD06DF" w:rsidRPr="00EC4B19" w:rsidRDefault="00CD06DF" w:rsidP="00CD06DF"/>
    <w:p w14:paraId="16273BEE" w14:textId="77777777" w:rsidR="00CD06DF" w:rsidRPr="00EC4B19" w:rsidRDefault="00CD06DF" w:rsidP="00CD06DF">
      <w:r w:rsidRPr="00EC4B19">
        <w:rPr>
          <w:i/>
        </w:rPr>
        <w:t>Pomoći izvanproračunskim korisnicima državnog proračuna</w:t>
      </w:r>
      <w:r w:rsidRPr="00EC4B19">
        <w:t xml:space="preserve"> izvršene su u iznosu od 2,3 milijarde eura. Hrvatskom zavodu za zdravstveno osiguranje isplaćeno je 757,1 milijun eura i to najvećim dijelom za transfer proračunskih sredstava i za dodatna sredstva za pokriće troškova zdravstvene zaštite. Nadalje, Hrvatskim vodama isplaćeno je 501,4 milijuna eura za ulaganje u vodno komunalne projekte, dok je 469,9 milijuna eura doznačeno Hrvatskim cestama d.o.o., Hrvatskim autocestama </w:t>
      </w:r>
      <w:proofErr w:type="spellStart"/>
      <w:r w:rsidRPr="00EC4B19">
        <w:t>d.o.o</w:t>
      </w:r>
      <w:proofErr w:type="spellEnd"/>
      <w:r w:rsidRPr="00EC4B19">
        <w:t xml:space="preserve"> i HŽ Infrastrukturi d.o.o. za pripadajući dio naknade u cijeni goriva. Nadalje, HŽ Infrastrukturi d.o.o. je za financiranje i sufinanciranje građenja, modernizaciju i obnovu željezničke infrastrukture te upravljanje, organizaciju i regulaciju </w:t>
      </w:r>
      <w:r w:rsidRPr="00EC4B19">
        <w:lastRenderedPageBreak/>
        <w:t>željezničkog prometa isplaćeno 356,5 milijuna eura, dok je HŽ-putničkom prijevozu za poticanje željezničkog putničkog prijevoza isplaćeno 159,1 milijun eura.</w:t>
      </w:r>
    </w:p>
    <w:p w14:paraId="7A32DE8B" w14:textId="77777777" w:rsidR="00CD06DF" w:rsidRPr="00EC4B19" w:rsidRDefault="00CD06DF" w:rsidP="00CD06DF">
      <w:pPr>
        <w:rPr>
          <w:b/>
          <w:i/>
        </w:rPr>
      </w:pPr>
    </w:p>
    <w:p w14:paraId="0C906679" w14:textId="77777777" w:rsidR="00CD06DF" w:rsidRPr="00EC4B19" w:rsidRDefault="00CD06DF" w:rsidP="00CD06DF">
      <w:pPr>
        <w:rPr>
          <w:b/>
          <w:i/>
        </w:rPr>
      </w:pPr>
    </w:p>
    <w:p w14:paraId="1AB7D9B2" w14:textId="77777777" w:rsidR="00CD06DF" w:rsidRPr="00EC4B19" w:rsidRDefault="00CD06DF" w:rsidP="00CD06DF">
      <w:pPr>
        <w:rPr>
          <w:b/>
          <w:i/>
        </w:rPr>
      </w:pPr>
      <w:r w:rsidRPr="00EC4B19">
        <w:rPr>
          <w:b/>
          <w:i/>
        </w:rPr>
        <w:t xml:space="preserve">Naknade građanima i kućanstvima na temelju osiguranja i druge naknade </w:t>
      </w:r>
    </w:p>
    <w:p w14:paraId="1A273BD0" w14:textId="77777777" w:rsidR="00CD06DF" w:rsidRPr="00EC4B19" w:rsidRDefault="00CD06DF" w:rsidP="00CD06DF">
      <w:pPr>
        <w:rPr>
          <w:b/>
          <w:i/>
        </w:rPr>
      </w:pPr>
    </w:p>
    <w:p w14:paraId="6E2E4C3D" w14:textId="77777777" w:rsidR="00CD06DF" w:rsidRPr="00EC4B19" w:rsidRDefault="00CD06DF" w:rsidP="00CD06DF">
      <w:r w:rsidRPr="00EC4B19">
        <w:t>Naknade građanima i kućanstvima na temelju osiguranja i druge naknade u 2025. godini izvršene su u iznosu od 12,0 milijardi eura, što predstavlja 99,9% planiranih sredstava, a u usporedbi s prethodnom godinom povećane su za 1,5 milijardi eura, odnosno 14,8%.</w:t>
      </w:r>
    </w:p>
    <w:p w14:paraId="012FAA6A" w14:textId="77777777" w:rsidR="00CD06DF" w:rsidRPr="00EC4B19" w:rsidRDefault="00CD06DF" w:rsidP="00CD06DF"/>
    <w:p w14:paraId="1CA94780" w14:textId="2E0B3B2F" w:rsidR="00CD06DF" w:rsidRPr="00EC4B19" w:rsidRDefault="004C74E9" w:rsidP="00CD06DF">
      <w:pPr>
        <w:jc w:val="left"/>
        <w:rPr>
          <w:b/>
          <w:bCs/>
        </w:rPr>
      </w:pPr>
      <w:r w:rsidRPr="00EC4B19">
        <w:rPr>
          <w:b/>
          <w:bCs/>
          <w:iCs/>
        </w:rPr>
        <w:t>Tablica 8</w:t>
      </w:r>
      <w:r w:rsidR="00CD06DF" w:rsidRPr="00EC4B19">
        <w:rPr>
          <w:b/>
          <w:bCs/>
          <w:iCs/>
        </w:rPr>
        <w:t xml:space="preserve">: Rashodi za naknade građanima i kućanstvima na temelju osiguranja i druge naknade </w:t>
      </w:r>
      <w:r w:rsidR="00CD06DF" w:rsidRPr="00EC4B19">
        <w:rPr>
          <w:b/>
          <w:bCs/>
        </w:rPr>
        <w:t>u 2024. i 2025. godini</w:t>
      </w:r>
    </w:p>
    <w:p w14:paraId="2940B94A" w14:textId="77777777" w:rsidR="00CD06DF" w:rsidRPr="00EC4B19" w:rsidRDefault="00CD06DF" w:rsidP="00CD06DF">
      <w:pPr>
        <w:rPr>
          <w:bCs/>
          <w:iCs/>
        </w:rPr>
      </w:pPr>
      <w:r w:rsidRPr="00EC4B19">
        <w:rPr>
          <w:noProof/>
        </w:rPr>
        <w:drawing>
          <wp:inline distT="0" distB="0" distL="0" distR="0" wp14:anchorId="3D739D28" wp14:editId="1760E100">
            <wp:extent cx="5760720" cy="3225517"/>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3225517"/>
                    </a:xfrm>
                    <a:prstGeom prst="rect">
                      <a:avLst/>
                    </a:prstGeom>
                    <a:noFill/>
                    <a:ln>
                      <a:noFill/>
                    </a:ln>
                  </pic:spPr>
                </pic:pic>
              </a:graphicData>
            </a:graphic>
          </wp:inline>
        </w:drawing>
      </w:r>
    </w:p>
    <w:p w14:paraId="33112310" w14:textId="77777777" w:rsidR="00CD06DF" w:rsidRPr="00EC4B19" w:rsidRDefault="00CD06DF" w:rsidP="00CD06DF">
      <w:pPr>
        <w:rPr>
          <w:bCs/>
          <w:iCs/>
        </w:rPr>
      </w:pPr>
    </w:p>
    <w:p w14:paraId="337AF079" w14:textId="77777777" w:rsidR="00CD06DF" w:rsidRPr="00EC4B19" w:rsidRDefault="00CD06DF" w:rsidP="00CD06DF">
      <w:r w:rsidRPr="00EC4B19">
        <w:rPr>
          <w:bCs/>
          <w:iCs/>
        </w:rPr>
        <w:t>Najveći iznos rashoda u ovoj skupini odnosi se na program Mirovine i mirovinska primanja koji je izvršen u iznosu od 9,2 milijarde eura, od čega su rashodi za mirovine izvršeni u iznosu od 8,9 milijardi eura. Rashodi za mirovine financirani iz izvora financiranja 21 Doprinosi za mirovinsko osiguranje iznose 5,7 milijardi eura.</w:t>
      </w:r>
      <w:r w:rsidRPr="00EC4B19">
        <w:t xml:space="preserve"> </w:t>
      </w:r>
      <w:r w:rsidRPr="00EC4B19">
        <w:rPr>
          <w:bCs/>
          <w:iCs/>
        </w:rPr>
        <w:t xml:space="preserve">Rashodi za mirovine financirani iz izvora financiranja 11 Opći prihodi i primici izvršeni su u iznosu od 3,2 milijarde eura, od čega se na mirovine ostvarene prema posebnim propisima odnosi 1,3 milijarde eura, a mirovine ostvarene prema općem propisu 1,9 milijardi eura. </w:t>
      </w:r>
    </w:p>
    <w:p w14:paraId="0E681103" w14:textId="77777777" w:rsidR="00CD06DF" w:rsidRPr="00EC4B19" w:rsidRDefault="00CD06DF" w:rsidP="00CD06DF"/>
    <w:p w14:paraId="49616104" w14:textId="77777777" w:rsidR="00CD06DF" w:rsidRPr="00EC4B19" w:rsidRDefault="00CD06DF" w:rsidP="00CD06DF">
      <w:r w:rsidRPr="00EC4B19">
        <w:t xml:space="preserve">Dodatno je unutar navedenog programa u 2025. godini isplaćen godišnji dodatak korisnicima mirovine u iznosu 217,6 milijuna eura sukladno novom Zakonu o mirovinskom osiguranju (Narodne novine, 96/2025) te jednokratno primanje korisnicima mirovinskih primanja radi ublažavanja posljedica rasta troškova života u iznosu 62,4 milijuna eura. </w:t>
      </w:r>
    </w:p>
    <w:p w14:paraId="37D3AC22" w14:textId="77777777" w:rsidR="00CD06DF" w:rsidRPr="00EC4B19" w:rsidRDefault="00CD06DF" w:rsidP="00CD06DF"/>
    <w:p w14:paraId="4E7F760F" w14:textId="77777777" w:rsidR="00CD06DF" w:rsidRPr="00EC4B19" w:rsidRDefault="00CD06DF" w:rsidP="00CD06DF">
      <w:pPr>
        <w:rPr>
          <w:bCs/>
          <w:iCs/>
        </w:rPr>
      </w:pPr>
      <w:r w:rsidRPr="00EC4B19">
        <w:rPr>
          <w:bCs/>
          <w:iCs/>
        </w:rPr>
        <w:t xml:space="preserve">Za rashode za mirovine i isplatu </w:t>
      </w:r>
      <w:r w:rsidRPr="00EC4B19">
        <w:t xml:space="preserve">godišnjeg dodatka korisnicima mirovine </w:t>
      </w:r>
      <w:r w:rsidRPr="00EC4B19">
        <w:rPr>
          <w:bCs/>
          <w:iCs/>
        </w:rPr>
        <w:t xml:space="preserve">izdvojeno je 1,1 milijarda eura više u odnosu na prethodnu godinu, i to prvenstveno zbog: </w:t>
      </w:r>
    </w:p>
    <w:p w14:paraId="0AE0F1E6" w14:textId="77777777" w:rsidR="00CD06DF" w:rsidRPr="00EC4B19" w:rsidRDefault="00CD06DF" w:rsidP="00CD06DF">
      <w:pPr>
        <w:pStyle w:val="Odlomakpopisa"/>
        <w:numPr>
          <w:ilvl w:val="0"/>
          <w:numId w:val="13"/>
        </w:numPr>
        <w:rPr>
          <w:bCs/>
          <w:iCs/>
        </w:rPr>
      </w:pPr>
      <w:r w:rsidRPr="00EC4B19">
        <w:t xml:space="preserve">usklađivanja mirovina ostvarenih prema općim i posebnim propisima od 1. siječnja 2025. za 3,03% i od 1. srpnja 2025. za 6,48%, </w:t>
      </w:r>
    </w:p>
    <w:p w14:paraId="72ACACDD" w14:textId="77777777" w:rsidR="00CD06DF" w:rsidRPr="00EC4B19" w:rsidRDefault="00CD06DF" w:rsidP="00CD06DF">
      <w:pPr>
        <w:pStyle w:val="Odlomakpopisa"/>
        <w:numPr>
          <w:ilvl w:val="0"/>
          <w:numId w:val="13"/>
        </w:numPr>
        <w:rPr>
          <w:bCs/>
          <w:iCs/>
        </w:rPr>
      </w:pPr>
      <w:r w:rsidRPr="00EC4B19">
        <w:t>prenesenog kumuliranog učinka promjene broja i strukture korisnika mirovina te usklađivanja mirovina iz 2024. godine i</w:t>
      </w:r>
    </w:p>
    <w:p w14:paraId="65708FD8" w14:textId="77777777" w:rsidR="00CD06DF" w:rsidRPr="00EC4B19" w:rsidRDefault="00CD06DF" w:rsidP="00CD06DF">
      <w:pPr>
        <w:pStyle w:val="Odlomakpopisa"/>
        <w:numPr>
          <w:ilvl w:val="0"/>
          <w:numId w:val="13"/>
        </w:numPr>
        <w:rPr>
          <w:bCs/>
          <w:iCs/>
        </w:rPr>
      </w:pPr>
      <w:r w:rsidRPr="00EC4B19">
        <w:lastRenderedPageBreak/>
        <w:t xml:space="preserve">stupanja na snagu novog Zakona o mirovinskom osiguranju (Narodne novine, 96/2025) se od 1. srpnja 2025. godine kojim se: </w:t>
      </w:r>
    </w:p>
    <w:p w14:paraId="2A4B5186" w14:textId="77777777" w:rsidR="00CD06DF" w:rsidRPr="00EC4B19" w:rsidRDefault="00CD06DF" w:rsidP="00CD06DF">
      <w:pPr>
        <w:ind w:left="1068"/>
        <w:rPr>
          <w:bCs/>
          <w:iCs/>
        </w:rPr>
      </w:pPr>
      <w:r w:rsidRPr="00EC4B19">
        <w:rPr>
          <w:bCs/>
          <w:iCs/>
        </w:rPr>
        <w:t>- promijenila formula usklađivanja mirovina u omjeru 85:15 prema povoljnijem indeksu rasta plaća i potrošačkih cijena (umjesto do 1. srpnja 2025. u omjeru 70:30),</w:t>
      </w:r>
    </w:p>
    <w:p w14:paraId="2683456B" w14:textId="77777777" w:rsidR="00CD06DF" w:rsidRPr="00EC4B19" w:rsidRDefault="00CD06DF" w:rsidP="00CD06DF">
      <w:pPr>
        <w:ind w:left="1068"/>
        <w:rPr>
          <w:bCs/>
          <w:iCs/>
        </w:rPr>
      </w:pPr>
      <w:r w:rsidRPr="00EC4B19">
        <w:rPr>
          <w:bCs/>
          <w:iCs/>
        </w:rPr>
        <w:t xml:space="preserve">- uveo godišnji dodatak na mirovinu, </w:t>
      </w:r>
    </w:p>
    <w:p w14:paraId="150AD524" w14:textId="77777777" w:rsidR="00CD06DF" w:rsidRPr="00EC4B19" w:rsidRDefault="00CD06DF" w:rsidP="00CD06DF">
      <w:pPr>
        <w:ind w:left="1068"/>
        <w:rPr>
          <w:bCs/>
          <w:iCs/>
        </w:rPr>
      </w:pPr>
      <w:r w:rsidRPr="00EC4B19">
        <w:rPr>
          <w:bCs/>
          <w:iCs/>
        </w:rPr>
        <w:t xml:space="preserve">- povećala najniža mirovina, </w:t>
      </w:r>
    </w:p>
    <w:p w14:paraId="5B9F938D" w14:textId="77777777" w:rsidR="00CD06DF" w:rsidRPr="00EC4B19" w:rsidRDefault="00CD06DF" w:rsidP="00CD06DF">
      <w:pPr>
        <w:ind w:left="1068"/>
        <w:rPr>
          <w:bCs/>
          <w:iCs/>
        </w:rPr>
      </w:pPr>
      <w:r w:rsidRPr="00EC4B19">
        <w:rPr>
          <w:bCs/>
          <w:iCs/>
        </w:rPr>
        <w:t xml:space="preserve">- povećao dodani staž sa 6 na 12 mjeseci za svako rođeno/posvojeno dijete, </w:t>
      </w:r>
    </w:p>
    <w:p w14:paraId="13EC8162" w14:textId="77777777" w:rsidR="00CD06DF" w:rsidRPr="00EC4B19" w:rsidRDefault="00CD06DF" w:rsidP="00CD06DF">
      <w:pPr>
        <w:ind w:left="1068"/>
        <w:rPr>
          <w:bCs/>
        </w:rPr>
      </w:pPr>
      <w:r w:rsidRPr="00EC4B19">
        <w:rPr>
          <w:bCs/>
          <w:iCs/>
        </w:rPr>
        <w:t xml:space="preserve">- redefinira povećanje polaznog faktora tzv. bonifikacije od 0,45% za svaki mjesec ostvarivanja prava na starosnu mirovinu nakon zakonski propisane dobi, i to na način da se više ne uvjetuje s navršenim mirovinskim stažem od 35 godina te da se ne ograničava na najviše pet godina odnosno maksimalno na 27%. </w:t>
      </w:r>
    </w:p>
    <w:p w14:paraId="732C5B6C" w14:textId="77777777" w:rsidR="00CD06DF" w:rsidRPr="00EC4B19" w:rsidRDefault="00CD06DF" w:rsidP="00CD06DF">
      <w:pPr>
        <w:pStyle w:val="Odlomakpopisa"/>
      </w:pPr>
    </w:p>
    <w:p w14:paraId="07BC41BD" w14:textId="77777777" w:rsidR="00CD06DF" w:rsidRPr="00EC4B19" w:rsidRDefault="00CD06DF" w:rsidP="00CD06DF">
      <w:pPr>
        <w:rPr>
          <w:bCs/>
        </w:rPr>
      </w:pPr>
      <w:r w:rsidRPr="00EC4B19">
        <w:rPr>
          <w:bCs/>
          <w:i/>
          <w:iCs/>
        </w:rPr>
        <w:t>Naknade u socijalnoj skrbi</w:t>
      </w:r>
      <w:r w:rsidRPr="00EC4B19">
        <w:rPr>
          <w:bCs/>
          <w:iCs/>
        </w:rPr>
        <w:t xml:space="preserve"> izvršene su u iznosu od 1,5 milijardi eura.</w:t>
      </w:r>
      <w:r w:rsidRPr="00EC4B19">
        <w:rPr>
          <w:bCs/>
        </w:rPr>
        <w:t xml:space="preserve"> U sklopu naknada u socijalnoj skrbi isplaćen je </w:t>
      </w:r>
      <w:proofErr w:type="spellStart"/>
      <w:r w:rsidRPr="00EC4B19">
        <w:rPr>
          <w:bCs/>
        </w:rPr>
        <w:t>inkluzivni</w:t>
      </w:r>
      <w:proofErr w:type="spellEnd"/>
      <w:r w:rsidRPr="00EC4B19">
        <w:rPr>
          <w:bCs/>
        </w:rPr>
        <w:t xml:space="preserve"> dodatak u iznosu od 999,8 milijuna eura, naknade za status roditelja njegovatelja ili status njegovatelja u iznosu od 91,7 milijuna eura, zajamčena minimalna naknada u iznosu od 74,6 milijuna eura, naknada za ugroženog kupca energenta 69,2 milijuna eura, naknade za smještaj u udomiteljsku obitelj 35,0 milijuna eura, nacionalna naknada za starije osobe u iznosu od 34,9 milijuna eura te osobna asistencija 20,8 milijuna eura.</w:t>
      </w:r>
    </w:p>
    <w:p w14:paraId="5C329ABE" w14:textId="77777777" w:rsidR="00CD06DF" w:rsidRPr="00EC4B19" w:rsidRDefault="00CD06DF" w:rsidP="00CD06DF">
      <w:pPr>
        <w:rPr>
          <w:bCs/>
        </w:rPr>
      </w:pPr>
    </w:p>
    <w:p w14:paraId="1C6755E0" w14:textId="77777777" w:rsidR="00CD06DF" w:rsidRPr="00EC4B19" w:rsidRDefault="00CD06DF" w:rsidP="00CD06DF">
      <w:pPr>
        <w:rPr>
          <w:bCs/>
        </w:rPr>
      </w:pPr>
      <w:r w:rsidRPr="00EC4B19">
        <w:rPr>
          <w:bCs/>
          <w:iCs/>
        </w:rPr>
        <w:t xml:space="preserve">U odnosu na prethodnu godinu naknade u socijalnoj skrbi povećane za 480,9 milijuna eura, </w:t>
      </w:r>
      <w:r w:rsidRPr="00EC4B19">
        <w:rPr>
          <w:bCs/>
        </w:rPr>
        <w:t xml:space="preserve">prvenstveno radi većeg izvršenja </w:t>
      </w:r>
      <w:proofErr w:type="spellStart"/>
      <w:r w:rsidRPr="00EC4B19">
        <w:rPr>
          <w:bCs/>
        </w:rPr>
        <w:t>inkluzivnog</w:t>
      </w:r>
      <w:proofErr w:type="spellEnd"/>
      <w:r w:rsidRPr="00EC4B19">
        <w:rPr>
          <w:bCs/>
        </w:rPr>
        <w:t xml:space="preserve"> dodatka za 417,1 milijuna eura. Na povećanje naknada u socijalnoj skrbi utjecalo je i povećanje osnovica za izračun socijalnih naknada na temelju odluka Vlade Republike Hrvatske koje su stupile na snagu 1. siječnja 2025. godine (Odluka o osnovici za izračun iznosa zajamčene minimalne naknade za 2025. godinu, Odluka o osnovici za izračun iznosa drugih naknada u sustavu socijalne skrbi i Odluka o osnovici za izračun iznosa naknade za rad udomitelja i iznosa </w:t>
      </w:r>
      <w:proofErr w:type="spellStart"/>
      <w:r w:rsidRPr="00EC4B19">
        <w:rPr>
          <w:bCs/>
        </w:rPr>
        <w:t>opskrbnine</w:t>
      </w:r>
      <w:proofErr w:type="spellEnd"/>
      <w:r w:rsidRPr="00EC4B19">
        <w:rPr>
          <w:bCs/>
        </w:rPr>
        <w:t xml:space="preserve"> za 2025. godinu). Također, Izmjenama i dopunama Zakona o socijalnoj skrbi (Narodne novine, broj 61/25.), koji je stupio na snagu 1. travnja 2025. godine, povećana je adekvatnost zajamčene minimalne naknade odnosno visina zajamčene minimalne naknade za kućanstva s djecom, samohrane roditelje, </w:t>
      </w:r>
      <w:proofErr w:type="spellStart"/>
      <w:r w:rsidRPr="00EC4B19">
        <w:rPr>
          <w:bCs/>
        </w:rPr>
        <w:t>jednoroditeljske</w:t>
      </w:r>
      <w:proofErr w:type="spellEnd"/>
      <w:r w:rsidRPr="00EC4B19">
        <w:rPr>
          <w:bCs/>
        </w:rPr>
        <w:t xml:space="preserve"> obitelji i njihovu djecu te je propisano da zajamčenu minimalnu naknadu u punom, sto postotnom iznosu, primaju beskućnici bez obzira na smještaj u prihvatilištu, žrtve nasilja u obitelji i trgovanja ljudima, kao i studenti, korisnici naknade za redovito studiranje. Nadalje, navedenim Izmjenama i dopunama Zakona propisuje se priznavanja prava na jednokratnu naknadu </w:t>
      </w:r>
      <w:proofErr w:type="spellStart"/>
      <w:r w:rsidRPr="00EC4B19">
        <w:rPr>
          <w:bCs/>
        </w:rPr>
        <w:t>posvojitelju</w:t>
      </w:r>
      <w:proofErr w:type="spellEnd"/>
      <w:r w:rsidRPr="00EC4B19">
        <w:rPr>
          <w:bCs/>
        </w:rPr>
        <w:t xml:space="preserve"> za potrebe posvojenog djeteta, kao i rok od šest mjeseci od dana zasnivanja posvojenja u kojem </w:t>
      </w:r>
      <w:proofErr w:type="spellStart"/>
      <w:r w:rsidRPr="00EC4B19">
        <w:rPr>
          <w:bCs/>
        </w:rPr>
        <w:t>posvojitelj</w:t>
      </w:r>
      <w:proofErr w:type="spellEnd"/>
      <w:r w:rsidRPr="00EC4B19">
        <w:rPr>
          <w:bCs/>
        </w:rPr>
        <w:t xml:space="preserve"> ima pravo podnijeti zahtjev za priznavanje prava, te iznos naknade od 1.327,23 eura.</w:t>
      </w:r>
    </w:p>
    <w:p w14:paraId="4356269A" w14:textId="77777777" w:rsidR="00CD06DF" w:rsidRPr="00EC4B19" w:rsidRDefault="00CD06DF" w:rsidP="00CD06DF">
      <w:pPr>
        <w:rPr>
          <w:bCs/>
        </w:rPr>
      </w:pPr>
    </w:p>
    <w:p w14:paraId="5B13AC93" w14:textId="77777777" w:rsidR="00CD06DF" w:rsidRPr="00EC4B19" w:rsidRDefault="00CD06DF" w:rsidP="00CD06DF">
      <w:r w:rsidRPr="00EC4B19">
        <w:rPr>
          <w:bCs/>
          <w:iCs/>
        </w:rPr>
        <w:t xml:space="preserve">Za </w:t>
      </w:r>
      <w:r w:rsidRPr="00EC4B19">
        <w:rPr>
          <w:bCs/>
          <w:i/>
        </w:rPr>
        <w:t xml:space="preserve">dodatni </w:t>
      </w:r>
      <w:proofErr w:type="spellStart"/>
      <w:r w:rsidRPr="00EC4B19">
        <w:rPr>
          <w:bCs/>
          <w:i/>
        </w:rPr>
        <w:t>rodiljni</w:t>
      </w:r>
      <w:proofErr w:type="spellEnd"/>
      <w:r w:rsidRPr="00EC4B19">
        <w:rPr>
          <w:bCs/>
          <w:i/>
        </w:rPr>
        <w:t>, roditeljski dopust i opremu za novorođeno dijete</w:t>
      </w:r>
      <w:r w:rsidRPr="00EC4B19">
        <w:rPr>
          <w:bCs/>
          <w:iCs/>
        </w:rPr>
        <w:t xml:space="preserve"> izdvojeno je 507,4 milijuna eura. U odnosu na prethodnu godinu izdvajanja za dodatni </w:t>
      </w:r>
      <w:proofErr w:type="spellStart"/>
      <w:r w:rsidRPr="00EC4B19">
        <w:rPr>
          <w:bCs/>
          <w:iCs/>
        </w:rPr>
        <w:t>rodiljni</w:t>
      </w:r>
      <w:proofErr w:type="spellEnd"/>
      <w:r w:rsidRPr="00EC4B19">
        <w:rPr>
          <w:bCs/>
          <w:iCs/>
        </w:rPr>
        <w:t xml:space="preserve">, roditeljski dopust i opremu za novorođeno dijete povećana su za 44,8%, odnosno </w:t>
      </w:r>
      <w:r w:rsidRPr="00EC4B19">
        <w:t xml:space="preserve">157,0 milijuna eura. Navedeno povećanje rezultat je Zakona o izmjenama i dopunama Zakona o </w:t>
      </w:r>
      <w:proofErr w:type="spellStart"/>
      <w:r w:rsidRPr="00EC4B19">
        <w:t>rodiljnim</w:t>
      </w:r>
      <w:proofErr w:type="spellEnd"/>
      <w:r w:rsidRPr="00EC4B19">
        <w:t xml:space="preserve"> i roditeljskim potporama (Narodne novine, broj 34/25.) kojim se od 1. ožujka 2025. godine povećavaju naknade za roditeljske potpore, udvostručuje jednokratna novčana potpora za novorođeno dijete te produžuje očinski dopust.</w:t>
      </w:r>
    </w:p>
    <w:p w14:paraId="1CD059F2" w14:textId="77777777" w:rsidR="00CD06DF" w:rsidRPr="00EC4B19" w:rsidRDefault="00CD06DF" w:rsidP="00CD06DF">
      <w:pPr>
        <w:rPr>
          <w:bCs/>
          <w:i/>
        </w:rPr>
      </w:pPr>
    </w:p>
    <w:p w14:paraId="00176AE4" w14:textId="77777777" w:rsidR="00CD06DF" w:rsidRPr="00EC4B19" w:rsidRDefault="00CD06DF" w:rsidP="00CD06DF">
      <w:pPr>
        <w:rPr>
          <w:bCs/>
          <w:iCs/>
        </w:rPr>
      </w:pPr>
      <w:r w:rsidRPr="00EC4B19">
        <w:rPr>
          <w:bCs/>
          <w:i/>
        </w:rPr>
        <w:t>Doplatak za djecu</w:t>
      </w:r>
      <w:r w:rsidRPr="00EC4B19">
        <w:rPr>
          <w:bCs/>
          <w:iCs/>
        </w:rPr>
        <w:t xml:space="preserve"> izvršen je u iznosu od 196,0 milijuna eura te je u odnosu na prethodnu godinu povećan u iznosu od 8,2 milijuna eura što je u najvećoj mjeri rezultat pune primjene Izmjena i dopuna Zakona o doplatku za djecu (Narodne novine, broj 156/23.).</w:t>
      </w:r>
    </w:p>
    <w:p w14:paraId="1D6C555E" w14:textId="77777777" w:rsidR="00CD06DF" w:rsidRPr="00EC4B19" w:rsidRDefault="00CD06DF" w:rsidP="00CD06DF">
      <w:pPr>
        <w:rPr>
          <w:bCs/>
          <w:i/>
        </w:rPr>
      </w:pPr>
    </w:p>
    <w:p w14:paraId="6013B4E4" w14:textId="77777777" w:rsidR="00CD06DF" w:rsidRPr="00EC4B19" w:rsidRDefault="00CD06DF" w:rsidP="00CD06DF">
      <w:pPr>
        <w:rPr>
          <w:bCs/>
        </w:rPr>
      </w:pPr>
      <w:r w:rsidRPr="00EC4B19">
        <w:rPr>
          <w:bCs/>
          <w:i/>
        </w:rPr>
        <w:lastRenderedPageBreak/>
        <w:t>Naknade nezaposlenima</w:t>
      </w:r>
      <w:r w:rsidRPr="00EC4B19">
        <w:rPr>
          <w:bCs/>
        </w:rPr>
        <w:t xml:space="preserve"> u 2025. godini izvršene su u iznosu od 156,2 milijuna eura</w:t>
      </w:r>
      <w:r w:rsidRPr="00EC4B19">
        <w:rPr>
          <w:bCs/>
          <w:iCs/>
        </w:rPr>
        <w:t xml:space="preserve"> te su u odnosu na prethodnu godinu povećane u iznosu od 33,9 milijuna eura</w:t>
      </w:r>
      <w:r w:rsidRPr="00EC4B19">
        <w:rPr>
          <w:bCs/>
        </w:rPr>
        <w:t xml:space="preserve">. Rast je uvjetovan Izmjenama i dopunama Zakona o tržištu rada (Narodne novine, broj 152/24.) koji je stupio na snagu 2025. godine, a kojim je povećana osnovica za obračun naknade za nezaposlene te kojim su ublaženi uvjeti za ostvarenje prava na naknadu za mlade osobe. </w:t>
      </w:r>
    </w:p>
    <w:p w14:paraId="6F0F69B7" w14:textId="77777777" w:rsidR="00CD06DF" w:rsidRPr="00EC4B19" w:rsidRDefault="00CD06DF" w:rsidP="00CD06DF">
      <w:pPr>
        <w:rPr>
          <w:bCs/>
        </w:rPr>
      </w:pPr>
    </w:p>
    <w:p w14:paraId="3D5777FC" w14:textId="77777777" w:rsidR="00CD06DF" w:rsidRPr="00EC4B19" w:rsidRDefault="00CD06DF" w:rsidP="00CD06DF">
      <w:pPr>
        <w:rPr>
          <w:bCs/>
        </w:rPr>
      </w:pPr>
      <w:r w:rsidRPr="00EC4B19">
        <w:rPr>
          <w:bCs/>
          <w:i/>
        </w:rPr>
        <w:t>Za trajna prava</w:t>
      </w:r>
      <w:r w:rsidRPr="00EC4B19">
        <w:rPr>
          <w:bCs/>
        </w:rPr>
        <w:t xml:space="preserve"> </w:t>
      </w:r>
      <w:r w:rsidRPr="00EC4B19">
        <w:t xml:space="preserve">hrvatskih branitelja i članova njihovih obitelji </w:t>
      </w:r>
      <w:r w:rsidRPr="00EC4B19">
        <w:rPr>
          <w:bCs/>
        </w:rPr>
        <w:t>(osobna invalidnina, obiteljska invalidnina, naknade i drugo) izdvojeno je ukupno 91,0 milijun eura.</w:t>
      </w:r>
    </w:p>
    <w:p w14:paraId="5FA2C49A" w14:textId="77777777" w:rsidR="00CD06DF" w:rsidRPr="00EC4B19" w:rsidRDefault="00CD06DF" w:rsidP="00CD06DF">
      <w:pPr>
        <w:rPr>
          <w:bCs/>
        </w:rPr>
      </w:pPr>
    </w:p>
    <w:p w14:paraId="025D41C8" w14:textId="77777777" w:rsidR="00CD06DF" w:rsidRPr="00EC4B19" w:rsidRDefault="00CD06DF" w:rsidP="00CD06DF">
      <w:pPr>
        <w:rPr>
          <w:bCs/>
        </w:rPr>
      </w:pPr>
      <w:r w:rsidRPr="00EC4B19">
        <w:rPr>
          <w:bCs/>
        </w:rPr>
        <w:t xml:space="preserve">Za </w:t>
      </w:r>
      <w:r w:rsidRPr="00EC4B19">
        <w:rPr>
          <w:bCs/>
          <w:i/>
        </w:rPr>
        <w:t>Subvencije i državna jamstva za stambene kredite</w:t>
      </w:r>
      <w:r w:rsidRPr="00EC4B19">
        <w:rPr>
          <w:b/>
        </w:rPr>
        <w:t xml:space="preserve"> </w:t>
      </w:r>
      <w:r w:rsidRPr="00EC4B19">
        <w:t>izdvojen je iznos od 43,5 milijuna eura.</w:t>
      </w:r>
    </w:p>
    <w:p w14:paraId="4EB15678" w14:textId="77777777" w:rsidR="00CD06DF" w:rsidRPr="00EC4B19" w:rsidRDefault="00CD06DF" w:rsidP="00CD06DF"/>
    <w:p w14:paraId="044F1802" w14:textId="77777777" w:rsidR="00CD06DF" w:rsidRPr="00EC4B19" w:rsidRDefault="00CD06DF" w:rsidP="00CD06DF"/>
    <w:p w14:paraId="6958CA1C" w14:textId="77777777" w:rsidR="00CD06DF" w:rsidRPr="00EC4B19" w:rsidRDefault="00CD06DF" w:rsidP="00CD06DF">
      <w:pPr>
        <w:rPr>
          <w:b/>
          <w:i/>
        </w:rPr>
      </w:pPr>
      <w:r w:rsidRPr="00EC4B19">
        <w:rPr>
          <w:b/>
          <w:i/>
        </w:rPr>
        <w:t>Rashodi za donacije, kazne, naknade šteta i kapitalne pomoći</w:t>
      </w:r>
    </w:p>
    <w:p w14:paraId="0E4E75A8" w14:textId="77777777" w:rsidR="00CD06DF" w:rsidRPr="00EC4B19" w:rsidRDefault="00CD06DF" w:rsidP="00CD06DF">
      <w:pPr>
        <w:rPr>
          <w:b/>
          <w:i/>
        </w:rPr>
      </w:pPr>
    </w:p>
    <w:p w14:paraId="73046D91" w14:textId="77777777" w:rsidR="00CD06DF" w:rsidRPr="00EC4B19" w:rsidRDefault="00CD06DF" w:rsidP="00CD06DF">
      <w:r w:rsidRPr="00EC4B19">
        <w:t>U 2025. godini rashodi za donacije, kazne, naknade šteta i kapitalne pomoći izvršeni su u iznosu od 1,7 milijardi eura, što čini 96,8% planiranih sredstava za 2025. godinu. U odnosu na prethodnu godinu rashodi za donacije, kazne, naknade šteta i kapitalne pomoći povećani su za 12,1%, odnosno 184,0 milijuna eura što je prvenstveno rezultat povećanja izdvajanja za provedbu energetske tranzicije za održivo gospodarstvo u okviru Nacionalnog plana oporavka i otpornost.</w:t>
      </w:r>
    </w:p>
    <w:p w14:paraId="0BEC5515" w14:textId="77777777" w:rsidR="00CD06DF" w:rsidRPr="00EC4B19" w:rsidRDefault="00CD06DF" w:rsidP="00CD06DF"/>
    <w:p w14:paraId="0488AE6B" w14:textId="5C843401" w:rsidR="00CD06DF" w:rsidRPr="00EC4B19" w:rsidRDefault="004C74E9" w:rsidP="00CD06DF">
      <w:pPr>
        <w:rPr>
          <w:b/>
        </w:rPr>
      </w:pPr>
      <w:r w:rsidRPr="00EC4B19">
        <w:rPr>
          <w:b/>
        </w:rPr>
        <w:t>Tablica 9</w:t>
      </w:r>
      <w:r w:rsidR="00CD06DF" w:rsidRPr="00EC4B19">
        <w:rPr>
          <w:b/>
        </w:rPr>
        <w:t>: Rashodi za donacije, kazne, naknade šteta i kapitalne pomoći</w:t>
      </w:r>
    </w:p>
    <w:p w14:paraId="0A9803A9" w14:textId="77777777" w:rsidR="00CD06DF" w:rsidRPr="00EC4B19" w:rsidRDefault="00CD06DF" w:rsidP="00CD06DF">
      <w:r w:rsidRPr="00EC4B19">
        <w:rPr>
          <w:noProof/>
        </w:rPr>
        <w:drawing>
          <wp:inline distT="0" distB="0" distL="0" distR="0" wp14:anchorId="7AA46BD4" wp14:editId="10C99203">
            <wp:extent cx="5760720" cy="1555864"/>
            <wp:effectExtent l="0" t="0" r="0" b="635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1555864"/>
                    </a:xfrm>
                    <a:prstGeom prst="rect">
                      <a:avLst/>
                    </a:prstGeom>
                    <a:noFill/>
                    <a:ln>
                      <a:noFill/>
                    </a:ln>
                  </pic:spPr>
                </pic:pic>
              </a:graphicData>
            </a:graphic>
          </wp:inline>
        </w:drawing>
      </w:r>
    </w:p>
    <w:p w14:paraId="04D11422" w14:textId="77777777" w:rsidR="00CD06DF" w:rsidRPr="00EC4B19" w:rsidRDefault="00CD06DF" w:rsidP="00CD06DF">
      <w:pPr>
        <w:rPr>
          <w:i/>
        </w:rPr>
      </w:pPr>
    </w:p>
    <w:p w14:paraId="63FE167E" w14:textId="77777777" w:rsidR="00CD06DF" w:rsidRPr="00EC4B19" w:rsidRDefault="00CD06DF" w:rsidP="00CD06DF">
      <w:r w:rsidRPr="00EC4B19">
        <w:rPr>
          <w:i/>
        </w:rPr>
        <w:t xml:space="preserve">Tekuće i kapitalne donacije </w:t>
      </w:r>
      <w:r w:rsidRPr="00EC4B19">
        <w:t>(neprofitnim organizacijama, građanima i kućanstvima) u 2025. godini izvršene su u iznosu od 950,9 milijuna eura, od čega je najviše sredstava izdvojeno unutar programa:</w:t>
      </w:r>
    </w:p>
    <w:p w14:paraId="25B1DE2E" w14:textId="77777777" w:rsidR="00CD06DF" w:rsidRPr="00EC4B19" w:rsidRDefault="00CD06DF" w:rsidP="00CD06DF">
      <w:pPr>
        <w:pStyle w:val="Odlomakpopisa"/>
        <w:numPr>
          <w:ilvl w:val="0"/>
          <w:numId w:val="24"/>
        </w:numPr>
      </w:pPr>
      <w:r w:rsidRPr="00EC4B19">
        <w:t xml:space="preserve">Razvoj športa u iznosu od 114,5 milijuna eura, </w:t>
      </w:r>
    </w:p>
    <w:p w14:paraId="33A54E99" w14:textId="77777777" w:rsidR="00CD06DF" w:rsidRPr="00EC4B19" w:rsidRDefault="00CD06DF" w:rsidP="00CD06DF">
      <w:pPr>
        <w:pStyle w:val="Odlomakpopisa"/>
        <w:numPr>
          <w:ilvl w:val="0"/>
          <w:numId w:val="24"/>
        </w:numPr>
      </w:pPr>
      <w:r w:rsidRPr="00EC4B19">
        <w:t>Razvoj odgojno obrazovnog sustava, osnovnoškolsko, srednjoškolsko i visoko obrazovanje u iznosu od 113,9 milijuna eura,</w:t>
      </w:r>
    </w:p>
    <w:p w14:paraId="67C50CC9" w14:textId="77777777" w:rsidR="00CD06DF" w:rsidRPr="00EC4B19" w:rsidRDefault="00CD06DF" w:rsidP="00CD06DF">
      <w:pPr>
        <w:pStyle w:val="Odlomakpopisa"/>
        <w:numPr>
          <w:ilvl w:val="0"/>
          <w:numId w:val="24"/>
        </w:numPr>
      </w:pPr>
      <w:r w:rsidRPr="00EC4B19">
        <w:t>Regulativa i nadzor u graditeljstvu u iznosu od 108,4 milijuna eura u cijelosti utrošenih za aktivnosti sanacije šteta od potresa i energetske obnove zgrada oštećenih u potresima,</w:t>
      </w:r>
    </w:p>
    <w:p w14:paraId="0D88669F" w14:textId="77777777" w:rsidR="00CD06DF" w:rsidRPr="00EC4B19" w:rsidRDefault="00CD06DF" w:rsidP="00CD06DF">
      <w:pPr>
        <w:pStyle w:val="Odlomakpopisa"/>
        <w:numPr>
          <w:ilvl w:val="0"/>
          <w:numId w:val="24"/>
        </w:numPr>
      </w:pPr>
      <w:r w:rsidRPr="00EC4B19">
        <w:t xml:space="preserve">Zaštita kulturnih dobara u iznosu od 83,9 milijuna eura, </w:t>
      </w:r>
    </w:p>
    <w:p w14:paraId="44D58EF2" w14:textId="77777777" w:rsidR="00CD06DF" w:rsidRPr="00EC4B19" w:rsidRDefault="00CD06DF" w:rsidP="00CD06DF">
      <w:pPr>
        <w:pStyle w:val="Odlomakpopisa"/>
        <w:numPr>
          <w:ilvl w:val="0"/>
          <w:numId w:val="24"/>
        </w:numPr>
      </w:pPr>
      <w:r w:rsidRPr="00EC4B19">
        <w:t xml:space="preserve">Podizanje kvalitete i dostupnosti socijalne skrbi u iznosu od 79,9 milijuna eura u sklopu kojeg se najznačajnija sredstva dodjeljuju za </w:t>
      </w:r>
      <w:proofErr w:type="spellStart"/>
      <w:r w:rsidRPr="00EC4B19">
        <w:t>potprojekt</w:t>
      </w:r>
      <w:proofErr w:type="spellEnd"/>
      <w:r w:rsidRPr="00EC4B19">
        <w:t xml:space="preserve"> Zaželi program zapošljavanja žena te</w:t>
      </w:r>
    </w:p>
    <w:p w14:paraId="4FD9A1B2" w14:textId="77777777" w:rsidR="00CD06DF" w:rsidRPr="00EC4B19" w:rsidRDefault="00CD06DF" w:rsidP="00CD06DF">
      <w:pPr>
        <w:pStyle w:val="Odlomakpopisa"/>
        <w:numPr>
          <w:ilvl w:val="0"/>
          <w:numId w:val="24"/>
        </w:numPr>
      </w:pPr>
      <w:r w:rsidRPr="00EC4B19">
        <w:t>Zaštita prava nacionalnih manjina u iznosu od 76,4 milijuna eura.</w:t>
      </w:r>
    </w:p>
    <w:p w14:paraId="6B1D03F3" w14:textId="7024BDE3" w:rsidR="00CD06DF" w:rsidRDefault="00CD06DF" w:rsidP="00CD06DF">
      <w:pPr>
        <w:spacing w:before="240" w:after="240"/>
      </w:pPr>
      <w:r w:rsidRPr="00EC4B19">
        <w:t xml:space="preserve">Za </w:t>
      </w:r>
      <w:r w:rsidRPr="00EC4B19">
        <w:rPr>
          <w:i/>
        </w:rPr>
        <w:t xml:space="preserve">Kapitalne pomoći </w:t>
      </w:r>
      <w:r w:rsidRPr="00EC4B19">
        <w:t xml:space="preserve">trgovačkim društvima, zadrugama, poljoprivrednicima i obrtnicima te kreditnim i ostalim financijskim institucijama u 2025. godini izdvojeno je 723,5 milijuna eura. </w:t>
      </w:r>
    </w:p>
    <w:p w14:paraId="4C95A127" w14:textId="5725065E" w:rsidR="00FA0E4A" w:rsidRDefault="00FA0E4A" w:rsidP="00CD06DF">
      <w:pPr>
        <w:spacing w:before="240" w:after="240"/>
      </w:pPr>
    </w:p>
    <w:p w14:paraId="532D7CC2" w14:textId="77777777" w:rsidR="00CD06DF" w:rsidRPr="00EC4B19" w:rsidRDefault="00CD06DF" w:rsidP="00CD06DF">
      <w:pPr>
        <w:spacing w:before="240" w:after="240"/>
      </w:pPr>
      <w:r w:rsidRPr="00EC4B19">
        <w:lastRenderedPageBreak/>
        <w:t>Najznačajnije kapitalne pomoći izvršene su unutar programa:</w:t>
      </w:r>
    </w:p>
    <w:p w14:paraId="13180582" w14:textId="77777777" w:rsidR="00CD06DF" w:rsidRPr="00EC4B19" w:rsidRDefault="00CD06DF" w:rsidP="00CD06DF">
      <w:pPr>
        <w:pStyle w:val="Odlomakpopisa"/>
        <w:numPr>
          <w:ilvl w:val="0"/>
          <w:numId w:val="24"/>
        </w:numPr>
        <w:spacing w:before="240" w:after="240"/>
      </w:pPr>
      <w:r w:rsidRPr="00EC4B19">
        <w:t xml:space="preserve">Razvoj energetskog sustava i gospodarenja ugljikovodicima u iznosu od 263,9 milijuna eura i to za provedbu energetske tranzicije za održivo gospodarstvo u okviru Nacionalnog plana oporavka i otpornost, </w:t>
      </w:r>
    </w:p>
    <w:p w14:paraId="1B97F657" w14:textId="77777777" w:rsidR="00CD06DF" w:rsidRPr="00EC4B19" w:rsidRDefault="00CD06DF" w:rsidP="00CD06DF">
      <w:pPr>
        <w:pStyle w:val="Odlomakpopisa"/>
        <w:numPr>
          <w:ilvl w:val="0"/>
          <w:numId w:val="24"/>
        </w:numPr>
        <w:spacing w:before="240" w:after="240"/>
      </w:pPr>
      <w:r w:rsidRPr="00EC4B19">
        <w:t xml:space="preserve">Ruralni razvoj, Ribarstvo i Poljoprivreda u iznosu od 171,9 milijuna eura, </w:t>
      </w:r>
    </w:p>
    <w:p w14:paraId="2FD21E3B" w14:textId="77777777" w:rsidR="00CD06DF" w:rsidRPr="00EC4B19" w:rsidRDefault="00CD06DF" w:rsidP="00CD06DF">
      <w:pPr>
        <w:pStyle w:val="Odlomakpopisa"/>
        <w:numPr>
          <w:ilvl w:val="0"/>
          <w:numId w:val="24"/>
        </w:numPr>
      </w:pPr>
      <w:r w:rsidRPr="00EC4B19">
        <w:t xml:space="preserve">Kreditni jamstveni programi u gospodarstvu u iznosu od 81,7 milijuna eura od čega se 79,4 milijuna eura odnosi na jamstvenu pričuvu te </w:t>
      </w:r>
    </w:p>
    <w:p w14:paraId="2ADE80DF" w14:textId="77777777" w:rsidR="00CD06DF" w:rsidRPr="00EC4B19" w:rsidRDefault="00CD06DF" w:rsidP="00CD06DF">
      <w:pPr>
        <w:pStyle w:val="Odlomakpopisa"/>
        <w:numPr>
          <w:ilvl w:val="0"/>
          <w:numId w:val="24"/>
        </w:numPr>
        <w:spacing w:before="240" w:after="240"/>
      </w:pPr>
      <w:r w:rsidRPr="00EC4B19">
        <w:t xml:space="preserve">Priprema, provedba i podrška ostvarenju strateških ciljeva za jačanje gospodarstva RH u iznosu od 74,2 milijuna eura. </w:t>
      </w:r>
    </w:p>
    <w:p w14:paraId="3502B0C5" w14:textId="77777777" w:rsidR="00CD06DF" w:rsidRPr="00EC4B19" w:rsidRDefault="00CD06DF" w:rsidP="00CD06DF">
      <w:pPr>
        <w:rPr>
          <w:b/>
          <w:i/>
        </w:rPr>
      </w:pPr>
      <w:r w:rsidRPr="00EC4B19">
        <w:rPr>
          <w:b/>
          <w:i/>
        </w:rPr>
        <w:t xml:space="preserve">Rashodi za nabavu nefinancijske imovine </w:t>
      </w:r>
    </w:p>
    <w:p w14:paraId="43445387" w14:textId="77777777" w:rsidR="00CD06DF" w:rsidRPr="00EC4B19" w:rsidRDefault="00CD06DF" w:rsidP="00CD06DF">
      <w:pPr>
        <w:rPr>
          <w:b/>
          <w:i/>
        </w:rPr>
      </w:pPr>
    </w:p>
    <w:p w14:paraId="2F453357" w14:textId="77777777" w:rsidR="00CD06DF" w:rsidRPr="00EC4B19" w:rsidRDefault="00CD06DF" w:rsidP="00CD06DF">
      <w:r w:rsidRPr="00EC4B19">
        <w:t>Rashodi za nabavu nefinancijske imovine u 2025. godini izvršeni su u iznosu od 2,1 milijardu eura što predstavlja 86,4% planiranih sredstava te su u usporedbi s prethodnom godinom povećani za 502,4 milijuna eura, odnosno 31,4% što je najvećim dijelom rezultat povećanih izdvajanja za opremanje hrvatske vojske.</w:t>
      </w:r>
    </w:p>
    <w:p w14:paraId="0CCF6D85" w14:textId="77777777" w:rsidR="00CD06DF" w:rsidRPr="00EC4B19" w:rsidRDefault="00CD06DF" w:rsidP="00CD06DF"/>
    <w:p w14:paraId="0CA943C9" w14:textId="77777777" w:rsidR="00CD06DF" w:rsidRPr="00EC4B19" w:rsidRDefault="00CD06DF" w:rsidP="00CD06DF">
      <w:r w:rsidRPr="00EC4B19">
        <w:t>Najznačajnija izdvajanja unutar skupine rashoda za nabavu nefinancijske imovine izvršena su unutar razdjela:</w:t>
      </w:r>
    </w:p>
    <w:p w14:paraId="549A3FE6" w14:textId="77777777" w:rsidR="00CD06DF" w:rsidRPr="00EC4B19" w:rsidRDefault="00CD06DF" w:rsidP="0085670E">
      <w:pPr>
        <w:pStyle w:val="Odlomakpopisa"/>
        <w:numPr>
          <w:ilvl w:val="0"/>
          <w:numId w:val="25"/>
        </w:numPr>
        <w:ind w:left="709" w:hanging="496"/>
      </w:pPr>
      <w:r w:rsidRPr="00EC4B19">
        <w:t>Ministarstva obrane za program Opremanje, modernizacija i izgradnja iznos od 664,0 milijuna eura i to za opremanje hrvatske vojske glavnim borbenim tenkovima, opremanje materijalno tehničkim sredstvima i opremanje višenamjenskim borbenim avionom,</w:t>
      </w:r>
    </w:p>
    <w:p w14:paraId="3C923824" w14:textId="77777777" w:rsidR="00CD06DF" w:rsidRPr="00EC4B19" w:rsidRDefault="00CD06DF" w:rsidP="0085670E">
      <w:pPr>
        <w:pStyle w:val="Odlomakpopisa"/>
        <w:numPr>
          <w:ilvl w:val="0"/>
          <w:numId w:val="25"/>
        </w:numPr>
        <w:ind w:left="709" w:hanging="496"/>
      </w:pPr>
      <w:r w:rsidRPr="00EC4B19">
        <w:t>Ministarstva zdravstva za program Investicije u zdravstvenu infrastrukturu iznos od 290,3 milijuna eura unutar kojeg se provode aktivnosti vezane za sanaciju šteta od potresa i izravna kapitalna ulaganja bolničkih ustanova u vlasništvu Republike Hrvatske te jačanje otpornosti zdravstvenog sustava u sklopu Nacionalnog plana oporavka i otpornosti,</w:t>
      </w:r>
    </w:p>
    <w:p w14:paraId="508091E5" w14:textId="77777777" w:rsidR="00CD06DF" w:rsidRPr="00EC4B19" w:rsidRDefault="00CD06DF" w:rsidP="0085670E">
      <w:pPr>
        <w:pStyle w:val="Odlomakpopisa"/>
        <w:numPr>
          <w:ilvl w:val="0"/>
          <w:numId w:val="25"/>
        </w:numPr>
        <w:ind w:left="709" w:hanging="496"/>
      </w:pPr>
      <w:r w:rsidRPr="00EC4B19">
        <w:t>Ministarstva znanosti, obrazovanja i mladih za program Visokog obrazovanja iznos od 182,3 milijuna eura od čega se 135,0 milijun eura odnosi na obnovu zgrada oštećenih u potresu s energetskom obnovom u sklopu Nacionalnog programa oporavka i otpornosti te obnovu infrastrukture i opreme u području obrazovanja oštećene potresom,</w:t>
      </w:r>
    </w:p>
    <w:p w14:paraId="6F69EFB5" w14:textId="77777777" w:rsidR="00CD06DF" w:rsidRPr="00EC4B19" w:rsidRDefault="00CD06DF" w:rsidP="0085670E">
      <w:pPr>
        <w:pStyle w:val="Odlomakpopisa"/>
        <w:numPr>
          <w:ilvl w:val="0"/>
          <w:numId w:val="25"/>
        </w:numPr>
        <w:ind w:left="709" w:hanging="496"/>
      </w:pPr>
      <w:r w:rsidRPr="00EC4B19">
        <w:t xml:space="preserve">Ministarstva prostornoga uređenja, graditeljstva i državne imovine iznos od 169,1 milijuna eura i to za provedbu programa Regulativa i nadzor graditeljstva 54,3 milijuna eura unutar kojeg se provode aktivnosti vezane za sanaciju šteta od potresa i programa Stambeno zbrinjavanje prognanika, povratnika i izbjeglica u iznosu od 47,6 milijuna eura, </w:t>
      </w:r>
    </w:p>
    <w:p w14:paraId="4E1DD3B6" w14:textId="77777777" w:rsidR="00CD06DF" w:rsidRPr="00EC4B19" w:rsidRDefault="00CD06DF" w:rsidP="0085670E">
      <w:pPr>
        <w:pStyle w:val="Odlomakpopisa"/>
        <w:numPr>
          <w:ilvl w:val="0"/>
          <w:numId w:val="25"/>
        </w:numPr>
        <w:ind w:left="709" w:hanging="496"/>
      </w:pPr>
      <w:r w:rsidRPr="00EC4B19">
        <w:t xml:space="preserve">Ministarstva pravosuđa, uprave i digitalne transformacije u iznosu od 135,5 milijuna eura, od čega se 84,7 milijuna eura odnosi na program Jačanje javne uprave i pravosuđa, sprječavanje korupcije i digitalna transformacija-NPOO, </w:t>
      </w:r>
    </w:p>
    <w:p w14:paraId="694FC8C1" w14:textId="77777777" w:rsidR="00CD06DF" w:rsidRPr="00EC4B19" w:rsidRDefault="00CD06DF" w:rsidP="0085670E">
      <w:pPr>
        <w:pStyle w:val="Odlomakpopisa"/>
        <w:numPr>
          <w:ilvl w:val="0"/>
          <w:numId w:val="25"/>
        </w:numPr>
        <w:ind w:left="709" w:hanging="496"/>
      </w:pPr>
      <w:r w:rsidRPr="00EC4B19">
        <w:t>Ministarstva unutarnjih poslova u iznosu od 122,6 milijuna eura od čega se 46,9 milijuna eura odnosi na program Javni red, sigurnost i upravni poslovi, 42,3 milijuna eura na program Upravljanje državnim granicama te na program Organiziranje i provođenje zaštite i spašavanja u sklopu kojeg se provodi projekt Helikopterska potpora sustavu civile zaštite 27,0 milijuna eura i</w:t>
      </w:r>
    </w:p>
    <w:p w14:paraId="7BBF919C" w14:textId="3D301CEC" w:rsidR="00CD06DF" w:rsidRPr="00EC4B19" w:rsidRDefault="00CD06DF" w:rsidP="0085670E">
      <w:pPr>
        <w:pStyle w:val="Odlomakpopisa"/>
        <w:numPr>
          <w:ilvl w:val="0"/>
          <w:numId w:val="25"/>
        </w:numPr>
        <w:ind w:left="709" w:hanging="496"/>
      </w:pPr>
      <w:r w:rsidRPr="00EC4B19">
        <w:t xml:space="preserve">Ministarstva gospodarstva za provedbu programa Razvoj energetskog sustava i gospodarenja ugljikovodicima iznos od 88,4 milijuna eura u sklopu kojeg je za formiranje, skladištenje i upravljanje obveznim zalihama nafte i naftnim derivatima utrošeno 56,9 milijuna eura. </w:t>
      </w:r>
    </w:p>
    <w:p w14:paraId="23B68093" w14:textId="77777777" w:rsidR="00CD06DF" w:rsidRPr="00EC4B19" w:rsidRDefault="00CD06DF" w:rsidP="00CD06DF">
      <w:pPr>
        <w:spacing w:before="100" w:beforeAutospacing="1" w:after="225"/>
      </w:pPr>
      <w:r w:rsidRPr="00EC4B19">
        <w:rPr>
          <w:b/>
          <w:bCs/>
        </w:rPr>
        <w:lastRenderedPageBreak/>
        <w:t>2. Rashodi po izvorima financiranja</w:t>
      </w:r>
    </w:p>
    <w:p w14:paraId="2B6F57A7" w14:textId="7D56CE83" w:rsidR="00CD06DF" w:rsidRPr="00EC4B19" w:rsidRDefault="004C74E9" w:rsidP="00CD06DF">
      <w:pPr>
        <w:rPr>
          <w:b/>
        </w:rPr>
      </w:pPr>
      <w:r w:rsidRPr="00EC4B19">
        <w:rPr>
          <w:b/>
        </w:rPr>
        <w:t>Tablica 10</w:t>
      </w:r>
      <w:r w:rsidR="009C688A">
        <w:rPr>
          <w:b/>
        </w:rPr>
        <w:t>:</w:t>
      </w:r>
      <w:r w:rsidR="00CD06DF" w:rsidRPr="00EC4B19">
        <w:rPr>
          <w:b/>
        </w:rPr>
        <w:t xml:space="preserve"> Izvršenje rashoda po izvorima financiranja u 2024. i 2025. godini</w:t>
      </w:r>
    </w:p>
    <w:p w14:paraId="698269BF" w14:textId="77777777" w:rsidR="00CD06DF" w:rsidRPr="00EC4B19" w:rsidRDefault="00CD06DF" w:rsidP="00CD06DF">
      <w:r w:rsidRPr="00EC4B19">
        <w:rPr>
          <w:noProof/>
        </w:rPr>
        <w:drawing>
          <wp:inline distT="0" distB="0" distL="0" distR="0" wp14:anchorId="1FF34972" wp14:editId="53555169">
            <wp:extent cx="5760720" cy="223274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2232740"/>
                    </a:xfrm>
                    <a:prstGeom prst="rect">
                      <a:avLst/>
                    </a:prstGeom>
                    <a:noFill/>
                    <a:ln>
                      <a:noFill/>
                    </a:ln>
                  </pic:spPr>
                </pic:pic>
              </a:graphicData>
            </a:graphic>
          </wp:inline>
        </w:drawing>
      </w:r>
    </w:p>
    <w:p w14:paraId="4B1FBA8C" w14:textId="77777777" w:rsidR="00CD06DF" w:rsidRPr="00EC4B19" w:rsidRDefault="00CD06DF" w:rsidP="00CD06DF"/>
    <w:p w14:paraId="1B4477DC" w14:textId="77777777" w:rsidR="00CD06DF" w:rsidRPr="00EC4B19" w:rsidRDefault="00CD06DF" w:rsidP="00CD06DF">
      <w:r w:rsidRPr="00EC4B19">
        <w:t>Od ukupno izvršenih rashoda u iznosu od 36,0 milijardi eura u 2025. godini, najveći iznos od 21,5 milijardi eura financiran je iz izvora Opći prihodi i primici, dok su rashodi financirani iz izvora Doprinosi izvršeni u iznosu od 5,8 milijardi eura.</w:t>
      </w:r>
    </w:p>
    <w:p w14:paraId="2CB6F516" w14:textId="77777777" w:rsidR="00CD06DF" w:rsidRPr="00EC4B19" w:rsidRDefault="00CD06DF" w:rsidP="00CD06DF"/>
    <w:p w14:paraId="01E50F62" w14:textId="77777777" w:rsidR="00CD06DF" w:rsidRPr="00EC4B19" w:rsidRDefault="00CD06DF" w:rsidP="00CD06DF">
      <w:r w:rsidRPr="00EC4B19">
        <w:t xml:space="preserve">U odnosu na prethodnu godinu, rashodi financirani iz izvora financiranja Opći prihodi i primici povećani su za 1,0 milijardu eura što je najvećim dijelom rezultat povećanih isplata </w:t>
      </w:r>
      <w:proofErr w:type="spellStart"/>
      <w:r w:rsidRPr="00EC4B19">
        <w:t>inkluzivnog</w:t>
      </w:r>
      <w:proofErr w:type="spellEnd"/>
      <w:r w:rsidRPr="00EC4B19">
        <w:t xml:space="preserve"> dodatka, izdvajanja za demografsku revitalizaciju i poticanje useljeništva, rashode za mirovine te socijalne pomoći i naknade. </w:t>
      </w:r>
    </w:p>
    <w:p w14:paraId="4B8BD388" w14:textId="77777777" w:rsidR="00CD06DF" w:rsidRPr="00EC4B19" w:rsidRDefault="00CD06DF" w:rsidP="00CD06DF"/>
    <w:p w14:paraId="4E3ED356" w14:textId="77777777" w:rsidR="00CD06DF" w:rsidRPr="00EC4B19" w:rsidRDefault="00CD06DF" w:rsidP="00CD06DF">
      <w:r w:rsidRPr="00EC4B19">
        <w:t>Rashodi financirani iz izvora Prihodi za posebne namjene izvršeni su u iznosu od 3,9 milijardi eura te su u odnosu na prethodnu godinu povećani za 434,2 milijuna eura i to najvećim dijelom za provedbu programa Sigurnost građana i prava na zdravstvene usluge u iznosu od 386,6 milijuna eura.</w:t>
      </w:r>
    </w:p>
    <w:p w14:paraId="5B3E6D4C" w14:textId="77777777" w:rsidR="00CD06DF" w:rsidRPr="00EC4B19" w:rsidRDefault="00CD06DF" w:rsidP="00CD06DF"/>
    <w:p w14:paraId="04F3DB66" w14:textId="77777777" w:rsidR="00CD06DF" w:rsidRPr="00EC4B19" w:rsidRDefault="00CD06DF" w:rsidP="00CD06DF">
      <w:r w:rsidRPr="00EC4B19">
        <w:t xml:space="preserve">U 2025. godini iz izvora financiranja Pomoći financirano je 3,7 milijardi eura rashoda, od čega je 3,2 milijarde eura evidentirano na izvorima financiranja Europske unije (Mehanizam za oporavak i otpornost 1,4 milijarde eura, Europski fond za regionalni razvoj 409,5 milijuna eura, Europski poljoprivredni jamstveni fond 375,5 milijuna eura, Europski poljoprivredni fond za ruralni razvoj 343,7 milijuna eura, Europski socijalni fond plus 339,6 milijuna eura, Kohezijski fond 153,0 milijuna eura itd.). </w:t>
      </w:r>
    </w:p>
    <w:p w14:paraId="1A3482EB" w14:textId="77777777" w:rsidR="00CD06DF" w:rsidRPr="00EC4B19" w:rsidRDefault="00CD06DF" w:rsidP="00CD06DF"/>
    <w:p w14:paraId="6B8F20F3" w14:textId="77777777" w:rsidR="00CD06DF" w:rsidRPr="00EC4B19" w:rsidRDefault="00CD06DF" w:rsidP="00CD06DF">
      <w:r w:rsidRPr="00EC4B19">
        <w:t>U odnosu na prethodnu godinu rashodi financirani iz izvora financiranja Pomoći povećani su za 811,0 milijuna eura od čega se 593,1 milijun eura odnosi na Mehanizam za oporavak i otpornost, a 84,2 milijuna eura na Europski socijalni fond plus.</w:t>
      </w:r>
    </w:p>
    <w:p w14:paraId="6CEFF13A" w14:textId="77777777" w:rsidR="00CD06DF" w:rsidRPr="00EC4B19" w:rsidRDefault="00CD06DF" w:rsidP="00CD06DF"/>
    <w:p w14:paraId="4C062E16" w14:textId="77777777" w:rsidR="00CD06DF" w:rsidRPr="00EC4B19" w:rsidRDefault="00CD06DF" w:rsidP="00CD06DF">
      <w:r w:rsidRPr="00EC4B19">
        <w:t xml:space="preserve">Rashodi financirani iz izvora financiranja Namjenski primici su u 2025. godini izvršeni u iznosu od 755,6 milijuna eura te su u odnosu na isto razdoblje prethodne godine povećani za 129,3 milijuna eura. Navedeno povećanje je prvenstveno rezultat evidentiranih rashoda financiranih iz sredstava zajma u okviru Nacionalnog plana oporavka i otpornosti. </w:t>
      </w:r>
    </w:p>
    <w:p w14:paraId="2422F11D" w14:textId="77777777" w:rsidR="00CD06DF" w:rsidRPr="00EC4B19" w:rsidRDefault="00CD06DF" w:rsidP="00CD06DF"/>
    <w:p w14:paraId="6B88A752" w14:textId="40FB9A72" w:rsidR="0085670E" w:rsidRDefault="0085670E">
      <w:pPr>
        <w:spacing w:after="160" w:line="259" w:lineRule="auto"/>
        <w:jc w:val="left"/>
        <w:rPr>
          <w:b/>
          <w:bCs/>
        </w:rPr>
      </w:pPr>
      <w:r>
        <w:rPr>
          <w:b/>
          <w:bCs/>
        </w:rPr>
        <w:br w:type="page"/>
      </w:r>
    </w:p>
    <w:p w14:paraId="5ECE4755" w14:textId="16AEA24A" w:rsidR="00CD06DF" w:rsidRPr="00EC4B19" w:rsidRDefault="00CD06DF" w:rsidP="00CD06DF">
      <w:pPr>
        <w:spacing w:after="160" w:line="259" w:lineRule="auto"/>
        <w:jc w:val="left"/>
      </w:pPr>
      <w:r w:rsidRPr="00EC4B19">
        <w:rPr>
          <w:b/>
          <w:bCs/>
        </w:rPr>
        <w:lastRenderedPageBreak/>
        <w:t>3. Rashodi po funkcijskoj klasifikaciji</w:t>
      </w:r>
    </w:p>
    <w:p w14:paraId="74187601" w14:textId="77777777" w:rsidR="00CD06DF" w:rsidRPr="00EC4B19" w:rsidRDefault="00CD06DF" w:rsidP="00CD06DF">
      <w:pPr>
        <w:spacing w:after="160" w:line="259" w:lineRule="auto"/>
      </w:pPr>
      <w:r w:rsidRPr="00EC4B19">
        <w:t>S ciljem povećanja transparentnosti korištenja proračunskih sredstava prema namjeni, u nastavku se u okviru godišnjeg izvještaja o izvršenju državnog proračuna daje prikaz rashoda po funkcijskoj klasifikaciji. Brojčane oznake i nazivi funkcijske klasifikacije preuzeti su iz međunarodne klasifikacije funkcija države (COFOG) Ujedinjenih naroda – Klasifikacija rashoda u skladu s namjenom.</w:t>
      </w:r>
    </w:p>
    <w:p w14:paraId="6973EE9C" w14:textId="77777777" w:rsidR="00CD06DF" w:rsidRPr="00EC4B19" w:rsidRDefault="00CD06DF" w:rsidP="00CD06DF">
      <w:r w:rsidRPr="00EC4B19">
        <w:t>U 2025. godini prema funkcijskoj klasifikaciji najznačajniji rashodi izvršeni su za:</w:t>
      </w:r>
    </w:p>
    <w:p w14:paraId="1F95C664" w14:textId="77777777" w:rsidR="00CD06DF" w:rsidRPr="00EC4B19" w:rsidRDefault="00CD06DF" w:rsidP="00CD06DF">
      <w:pPr>
        <w:pStyle w:val="Odlomakpopisa"/>
        <w:numPr>
          <w:ilvl w:val="0"/>
          <w:numId w:val="43"/>
        </w:numPr>
      </w:pPr>
      <w:r w:rsidRPr="00EC4B19">
        <w:t>socijalnu zaštitu u iznosu od 12,7 milijardi eura,</w:t>
      </w:r>
    </w:p>
    <w:p w14:paraId="4FE8BD7F" w14:textId="77777777" w:rsidR="00CD06DF" w:rsidRPr="00EC4B19" w:rsidRDefault="00CD06DF" w:rsidP="00CD06DF">
      <w:pPr>
        <w:pStyle w:val="Odlomakpopisa"/>
        <w:numPr>
          <w:ilvl w:val="0"/>
          <w:numId w:val="43"/>
        </w:numPr>
      </w:pPr>
      <w:r w:rsidRPr="00EC4B19">
        <w:t>opće javne usluge u iznosu od 4,6 milijardi eura,</w:t>
      </w:r>
    </w:p>
    <w:p w14:paraId="2EBAA2CE" w14:textId="77777777" w:rsidR="00CD06DF" w:rsidRPr="00EC4B19" w:rsidRDefault="00CD06DF" w:rsidP="00CD06DF">
      <w:pPr>
        <w:pStyle w:val="Odlomakpopisa"/>
        <w:numPr>
          <w:ilvl w:val="0"/>
          <w:numId w:val="43"/>
        </w:numPr>
      </w:pPr>
      <w:r w:rsidRPr="00EC4B19">
        <w:t>ekonomske poslove u iznosu od 5,1 milijardu eura,</w:t>
      </w:r>
    </w:p>
    <w:p w14:paraId="4904815E" w14:textId="77777777" w:rsidR="00CD06DF" w:rsidRPr="00EC4B19" w:rsidRDefault="00CD06DF" w:rsidP="00CD06DF">
      <w:pPr>
        <w:pStyle w:val="Odlomakpopisa"/>
        <w:numPr>
          <w:ilvl w:val="0"/>
          <w:numId w:val="43"/>
        </w:numPr>
      </w:pPr>
      <w:r w:rsidRPr="00EC4B19">
        <w:t>zdravstvo u iznosu od 4,9 milijardi eura,</w:t>
      </w:r>
    </w:p>
    <w:p w14:paraId="4CE3C665" w14:textId="77777777" w:rsidR="00CD06DF" w:rsidRPr="00EC4B19" w:rsidRDefault="00CD06DF" w:rsidP="00CD06DF">
      <w:pPr>
        <w:pStyle w:val="Odlomakpopisa"/>
        <w:numPr>
          <w:ilvl w:val="0"/>
          <w:numId w:val="43"/>
        </w:numPr>
      </w:pPr>
      <w:r w:rsidRPr="00EC4B19">
        <w:t>javni red i sigurnost u iznosu od 2,3 milijarde eura,</w:t>
      </w:r>
    </w:p>
    <w:p w14:paraId="593EE2F6" w14:textId="77777777" w:rsidR="00CD06DF" w:rsidRPr="00EC4B19" w:rsidRDefault="00CD06DF" w:rsidP="00CD06DF">
      <w:pPr>
        <w:pStyle w:val="Odlomakpopisa"/>
        <w:numPr>
          <w:ilvl w:val="0"/>
          <w:numId w:val="43"/>
        </w:numPr>
      </w:pPr>
      <w:r w:rsidRPr="00EC4B19">
        <w:t>obrazovanje u iznosu od 2,0 milijarde eura te</w:t>
      </w:r>
    </w:p>
    <w:p w14:paraId="5C95E223" w14:textId="77777777" w:rsidR="00CD06DF" w:rsidRPr="00EC4B19" w:rsidRDefault="00CD06DF" w:rsidP="00CD06DF">
      <w:pPr>
        <w:pStyle w:val="Odlomakpopisa"/>
        <w:numPr>
          <w:ilvl w:val="0"/>
          <w:numId w:val="43"/>
        </w:numPr>
      </w:pPr>
      <w:r w:rsidRPr="00EC4B19">
        <w:t>obranu u iznosu od 1,6 milijardi eura.</w:t>
      </w:r>
    </w:p>
    <w:p w14:paraId="7D1152B2" w14:textId="77777777" w:rsidR="00CD06DF" w:rsidRPr="00EC4B19" w:rsidRDefault="00CD06DF" w:rsidP="00CD06DF"/>
    <w:p w14:paraId="1C9E6BC8" w14:textId="77777777" w:rsidR="00CD06DF" w:rsidRPr="00EC4B19" w:rsidRDefault="00CD06DF" w:rsidP="00CD06DF"/>
    <w:p w14:paraId="0499878A" w14:textId="55AD12D7" w:rsidR="00CD06DF" w:rsidRPr="00EC4B19" w:rsidRDefault="004C74E9" w:rsidP="00CD06DF">
      <w:pPr>
        <w:rPr>
          <w:b/>
        </w:rPr>
      </w:pPr>
      <w:r w:rsidRPr="00EC4B19">
        <w:rPr>
          <w:b/>
        </w:rPr>
        <w:t>Grafikon 7</w:t>
      </w:r>
      <w:r w:rsidR="00CD06DF" w:rsidRPr="00EC4B19">
        <w:rPr>
          <w:b/>
        </w:rPr>
        <w:t>: Rashodi po funkcijskoj klasifikaciji</w:t>
      </w:r>
    </w:p>
    <w:p w14:paraId="10F16F3C" w14:textId="77777777" w:rsidR="00CD06DF" w:rsidRPr="00EC4B19" w:rsidRDefault="00CD06DF" w:rsidP="00CD06DF"/>
    <w:p w14:paraId="194509D2" w14:textId="77777777" w:rsidR="00CD06DF" w:rsidRPr="00EC4B19" w:rsidRDefault="00CD06DF" w:rsidP="00CD06DF">
      <w:r w:rsidRPr="00EC4B19">
        <w:rPr>
          <w:noProof/>
        </w:rPr>
        <w:drawing>
          <wp:inline distT="0" distB="0" distL="0" distR="0" wp14:anchorId="0B210F6D" wp14:editId="0E5979C1">
            <wp:extent cx="5905500" cy="3360956"/>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8744" cy="3385567"/>
                    </a:xfrm>
                    <a:prstGeom prst="rect">
                      <a:avLst/>
                    </a:prstGeom>
                    <a:noFill/>
                  </pic:spPr>
                </pic:pic>
              </a:graphicData>
            </a:graphic>
          </wp:inline>
        </w:drawing>
      </w:r>
    </w:p>
    <w:p w14:paraId="08967989" w14:textId="77777777" w:rsidR="00CD06DF" w:rsidRPr="00EC4B19" w:rsidRDefault="00CD06DF" w:rsidP="00CD06DF"/>
    <w:p w14:paraId="0FC131BF" w14:textId="77777777" w:rsidR="00CD06DF" w:rsidRPr="00EC4B19" w:rsidRDefault="00CD06DF" w:rsidP="00CD06DF"/>
    <w:p w14:paraId="019E2FFA" w14:textId="77777777" w:rsidR="00CD06DF" w:rsidRPr="00EC4B19" w:rsidRDefault="00CD06DF" w:rsidP="00CD06DF"/>
    <w:p w14:paraId="2CA33727" w14:textId="77777777" w:rsidR="00CD06DF" w:rsidRPr="00EC4B19" w:rsidRDefault="00CD06DF" w:rsidP="00CD06DF"/>
    <w:p w14:paraId="0C87A8E4" w14:textId="77777777" w:rsidR="00CD06DF" w:rsidRPr="00EC4B19" w:rsidRDefault="00CD06DF" w:rsidP="00CD06DF"/>
    <w:p w14:paraId="4B66EA03" w14:textId="77777777" w:rsidR="00CD06DF" w:rsidRPr="00EC4B19" w:rsidRDefault="00CD06DF" w:rsidP="00CD06DF"/>
    <w:p w14:paraId="462C599B" w14:textId="77777777" w:rsidR="00CD06DF" w:rsidRPr="00EC4B19" w:rsidRDefault="00CD06DF" w:rsidP="00CD06DF"/>
    <w:p w14:paraId="2E766FAB" w14:textId="77777777" w:rsidR="00CD06DF" w:rsidRPr="00EC4B19" w:rsidRDefault="00CD06DF" w:rsidP="00CD06DF"/>
    <w:p w14:paraId="10A6BD3A" w14:textId="4AC9ED0F" w:rsidR="00FA0E4A" w:rsidRDefault="00FA0E4A">
      <w:pPr>
        <w:spacing w:after="160" w:line="259" w:lineRule="auto"/>
        <w:jc w:val="left"/>
      </w:pPr>
      <w:r>
        <w:br w:type="page"/>
      </w:r>
    </w:p>
    <w:p w14:paraId="51E43AFB" w14:textId="77777777" w:rsidR="00CD06DF" w:rsidRPr="00EC4B19" w:rsidRDefault="00CD06DF" w:rsidP="00CD06DF">
      <w:pPr>
        <w:shd w:val="clear" w:color="auto" w:fill="FFFFFF"/>
      </w:pPr>
      <w:r w:rsidRPr="00EC4B19">
        <w:lastRenderedPageBreak/>
        <w:t>Stanje novčanih sredstava na računima državnog proračuna i proračunskih korisnika državnog proračuna na dan 1. siječnja 2025. godine iznosi 3.542.460.787,05 eura, od čega se iznos od 1.218.083.653,81 euro odnosi na stanje novčanih sredstava na računima proračunskih korisnika državnog proračuna iskazano u financijskim izvještajima.</w:t>
      </w:r>
    </w:p>
    <w:p w14:paraId="3BB7A1D3" w14:textId="77777777" w:rsidR="00CD06DF" w:rsidRPr="00EC4B19" w:rsidRDefault="00CD06DF" w:rsidP="00CD06DF">
      <w:pPr>
        <w:shd w:val="clear" w:color="auto" w:fill="FFFFFF"/>
      </w:pPr>
    </w:p>
    <w:p w14:paraId="0EC7F20C" w14:textId="77777777" w:rsidR="00CD06DF" w:rsidRPr="00EC4B19" w:rsidRDefault="00CD06DF" w:rsidP="00CD06DF">
      <w:pPr>
        <w:shd w:val="clear" w:color="auto" w:fill="FFFFFF"/>
      </w:pPr>
      <w:r w:rsidRPr="00EC4B19">
        <w:t>Stanje novčanih sredstava na računima državnog proračuna i proračunskih korisnika državnog proračuna na dan 31. prosinca 2025. godine iznosi 3.027.591.541,54 eura, od čega se iznos od 1.264.727.986,17 eura odnosi na stanje novčanih sredstava na računima proračunskih korisnika državnog proračuna iskazano u financijskim izvještajima.</w:t>
      </w:r>
    </w:p>
    <w:p w14:paraId="279D7A65" w14:textId="77777777" w:rsidR="00CD06DF" w:rsidRPr="00EC4B19" w:rsidRDefault="00CD06DF" w:rsidP="00CD06DF">
      <w:pPr>
        <w:shd w:val="clear" w:color="auto" w:fill="FFFFFF"/>
      </w:pPr>
    </w:p>
    <w:p w14:paraId="5F6D4BD5" w14:textId="77777777" w:rsidR="00CD06DF" w:rsidRPr="00EC4B19" w:rsidRDefault="00CD06DF" w:rsidP="00CD06DF">
      <w:pPr>
        <w:shd w:val="clear" w:color="auto" w:fill="FFFFFF"/>
      </w:pPr>
    </w:p>
    <w:p w14:paraId="7F030DBB" w14:textId="77777777" w:rsidR="00CD06DF" w:rsidRPr="00EC4B19" w:rsidRDefault="00CD06DF" w:rsidP="00CD06DF">
      <w:pPr>
        <w:shd w:val="clear" w:color="auto" w:fill="FFFFFF"/>
      </w:pPr>
      <w:r w:rsidRPr="00EC4B19">
        <w:t>U 2025. godini preuzeta je nefinancijska imovina u naplati potraživanja javnih davanja u iznosu od 3.837.959,04 eura, a odnosi se na namirenje potraživanja Republike Hrvatske prema društvu Brodarski institut d.o.o. u likvidaciji preuzimanjem suvlasničkog dijela nekretnine. Naime, dana 14. studenog 2024. Vlada Republike Hrvatske donijela je Odluku o namirenju potraživanja Republike Hrvatske prema društvu Brodarski institut d.o.o. u likvidaciji preuzimanjem suvlasničkog dijela nekretnine, a slijedom Odluke Vlade Republike Hrvatske, dana 23. prosinca 2024. između Republike Hrvatske i društva Brodarski institut d.o.o. u likvidaciji zaključen je Sporazum o podmirenju potraživanja Republike Hrvatske ustupanjem nekretnina u suvlasništvu društva Broj: 190-03/2024.</w:t>
      </w:r>
    </w:p>
    <w:p w14:paraId="3332B998" w14:textId="77777777" w:rsidR="00CD06DF" w:rsidRPr="00EC4B19" w:rsidRDefault="00CD06DF" w:rsidP="00CD06DF">
      <w:pPr>
        <w:shd w:val="clear" w:color="auto" w:fill="FFFFFF"/>
      </w:pPr>
    </w:p>
    <w:p w14:paraId="3C06BD08" w14:textId="77777777" w:rsidR="00CD06DF" w:rsidRPr="00EC4B19" w:rsidRDefault="00CD06DF" w:rsidP="00CD06DF">
      <w:pPr>
        <w:shd w:val="clear" w:color="auto" w:fill="FFFFFF"/>
      </w:pPr>
      <w:r w:rsidRPr="00EC4B19">
        <w:t>Dodatno, u 2025. godini preuzeta je i financijska imovina u iznosu od 10.313.220,00 eura, a odnosi se na namirenje dijela potraživanja Republike Hrvatske prema društvu 3. MAJ Brodogradilište d.d. prijenosom poslovnih udjela društvu 3. MAJ Rijeka 1905 d.o.o. temeljem Odluke Vlade Republike Hrvatske o namirenju dijela potraživanja Republike Hrvatske prema društvu 3.MAJ Brodogradilište d.d. prijenosom poslovnih udjela 3. MAJ Rijeka 1905 d.o.o. od 27. prosinca 2024. godine.</w:t>
      </w:r>
    </w:p>
    <w:p w14:paraId="698EBA50" w14:textId="77777777" w:rsidR="00CD06DF" w:rsidRPr="00EC4B19" w:rsidRDefault="00CD06DF" w:rsidP="00CD06DF"/>
    <w:p w14:paraId="4CE60279" w14:textId="5A34A78E" w:rsidR="00B468B3" w:rsidRPr="00EC4B19" w:rsidRDefault="00B468B3">
      <w:pPr>
        <w:spacing w:after="160" w:line="259" w:lineRule="auto"/>
        <w:jc w:val="left"/>
        <w:rPr>
          <w:rFonts w:cs="Arial"/>
          <w:b/>
          <w:bCs/>
        </w:rPr>
      </w:pPr>
      <w:r w:rsidRPr="00EC4B19">
        <w:rPr>
          <w:rFonts w:cs="Arial"/>
          <w:b/>
          <w:bCs/>
        </w:rPr>
        <w:br w:type="page"/>
      </w:r>
    </w:p>
    <w:p w14:paraId="12CCC71A" w14:textId="77777777" w:rsidR="00B468B3" w:rsidRPr="00EC4B19" w:rsidRDefault="00B468B3" w:rsidP="00B468B3">
      <w:pPr>
        <w:keepNext/>
        <w:spacing w:before="240" w:after="60" w:line="276" w:lineRule="auto"/>
        <w:jc w:val="center"/>
        <w:outlineLvl w:val="2"/>
        <w:rPr>
          <w:rFonts w:cs="Arial"/>
          <w:b/>
          <w:bCs/>
        </w:rPr>
      </w:pPr>
      <w:r w:rsidRPr="00EC4B19">
        <w:rPr>
          <w:rFonts w:cs="Arial"/>
          <w:b/>
          <w:bCs/>
        </w:rPr>
        <w:lastRenderedPageBreak/>
        <w:t>PRIMICI I IZDACI DRŽAVNOG PRORAČUNA</w:t>
      </w:r>
    </w:p>
    <w:p w14:paraId="54FEDCA7" w14:textId="77777777" w:rsidR="00B468B3" w:rsidRPr="00EC4B19" w:rsidRDefault="00B468B3" w:rsidP="00B468B3">
      <w:pPr>
        <w:spacing w:line="276" w:lineRule="auto"/>
      </w:pPr>
    </w:p>
    <w:p w14:paraId="4B604F97" w14:textId="77777777" w:rsidR="001D0EE5" w:rsidRPr="00EC4B19" w:rsidRDefault="001D0EE5" w:rsidP="001D0EE5">
      <w:pPr>
        <w:tabs>
          <w:tab w:val="left" w:pos="180"/>
          <w:tab w:val="left" w:pos="540"/>
        </w:tabs>
        <w:spacing w:after="120"/>
      </w:pPr>
      <w:r w:rsidRPr="00EC4B19">
        <w:t xml:space="preserve">U 2025. godini ukupni prihodi (prihodi poslovanja i prihodi od prodaje nefinancijske imovine) ostvareni su u iznosu od 32,6 milijardi eura, a rashodi (rashodi poslovanja i rashodi za nabavu nefinancijske imovine) u iznosu od 36,0 milijardi eura. </w:t>
      </w:r>
    </w:p>
    <w:p w14:paraId="48DA344A" w14:textId="77777777" w:rsidR="001D0EE5" w:rsidRPr="00EC4B19" w:rsidRDefault="001D0EE5" w:rsidP="001D0EE5">
      <w:pPr>
        <w:tabs>
          <w:tab w:val="left" w:pos="180"/>
          <w:tab w:val="left" w:pos="540"/>
        </w:tabs>
        <w:spacing w:after="120"/>
      </w:pPr>
      <w:r w:rsidRPr="00EC4B19">
        <w:t>U nastavku se daje prikaz plana i izvršenja Računa prihoda i rashoda državnog proračuna i plana i izvršenja Računa financiranja za 2025. godinu.</w:t>
      </w:r>
    </w:p>
    <w:p w14:paraId="4CD1AB8A" w14:textId="77777777" w:rsidR="00B468B3" w:rsidRPr="00EC4B19" w:rsidRDefault="00B468B3" w:rsidP="00B468B3">
      <w:pPr>
        <w:spacing w:line="276" w:lineRule="auto"/>
        <w:rPr>
          <w:b/>
        </w:rPr>
      </w:pPr>
    </w:p>
    <w:p w14:paraId="22AEBB94" w14:textId="08BE92FD" w:rsidR="00B468B3" w:rsidRPr="00EC4B19" w:rsidRDefault="00B468B3" w:rsidP="00B468B3">
      <w:pPr>
        <w:spacing w:line="276" w:lineRule="auto"/>
        <w:rPr>
          <w:b/>
        </w:rPr>
      </w:pPr>
      <w:r w:rsidRPr="00EC4B19">
        <w:rPr>
          <w:b/>
        </w:rPr>
        <w:t>Tabli</w:t>
      </w:r>
      <w:r w:rsidR="004C74E9" w:rsidRPr="00EC4B19">
        <w:rPr>
          <w:b/>
        </w:rPr>
        <w:t>ca 11:</w:t>
      </w:r>
      <w:r w:rsidRPr="00EC4B19">
        <w:rPr>
          <w:b/>
        </w:rPr>
        <w:t xml:space="preserve"> Račun prihoda i rashoda i Račun financiranja za 2025. godinu</w:t>
      </w:r>
    </w:p>
    <w:p w14:paraId="5603A36E" w14:textId="77777777" w:rsidR="00D34CBD" w:rsidRPr="00EC4B19" w:rsidRDefault="00D34CBD" w:rsidP="00D34CBD">
      <w:pPr>
        <w:spacing w:line="276" w:lineRule="auto"/>
        <w:rPr>
          <w:b/>
        </w:rPr>
      </w:pPr>
      <w:r w:rsidRPr="00EC4B19">
        <w:rPr>
          <w:noProof/>
        </w:rPr>
        <w:drawing>
          <wp:inline distT="0" distB="0" distL="0" distR="0" wp14:anchorId="773E9A64" wp14:editId="37B5E1DE">
            <wp:extent cx="5760720" cy="1973162"/>
            <wp:effectExtent l="0" t="0" r="0" b="8255"/>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1973162"/>
                    </a:xfrm>
                    <a:prstGeom prst="rect">
                      <a:avLst/>
                    </a:prstGeom>
                    <a:noFill/>
                    <a:ln>
                      <a:noFill/>
                    </a:ln>
                  </pic:spPr>
                </pic:pic>
              </a:graphicData>
            </a:graphic>
          </wp:inline>
        </w:drawing>
      </w:r>
    </w:p>
    <w:p w14:paraId="64A18EAC" w14:textId="77777777" w:rsidR="00D34CBD" w:rsidRPr="00EC4B19" w:rsidRDefault="00D34CBD" w:rsidP="00D34CBD">
      <w:pPr>
        <w:spacing w:line="276" w:lineRule="auto"/>
        <w:rPr>
          <w:b/>
        </w:rPr>
      </w:pPr>
    </w:p>
    <w:p w14:paraId="24EB42EA" w14:textId="77777777" w:rsidR="00D34CBD" w:rsidRPr="00EC4B19" w:rsidRDefault="00D34CBD" w:rsidP="00D34CBD">
      <w:pPr>
        <w:spacing w:line="276" w:lineRule="auto"/>
        <w:rPr>
          <w:b/>
        </w:rPr>
      </w:pPr>
    </w:p>
    <w:p w14:paraId="7072CA18" w14:textId="77777777" w:rsidR="00D34CBD" w:rsidRPr="00EC4B19" w:rsidRDefault="00D34CBD" w:rsidP="00D34CBD">
      <w:pPr>
        <w:spacing w:line="276" w:lineRule="auto"/>
        <w:rPr>
          <w:b/>
        </w:rPr>
      </w:pPr>
    </w:p>
    <w:p w14:paraId="7EBFF8AB" w14:textId="77777777" w:rsidR="00D34CBD" w:rsidRPr="00EC4B19" w:rsidRDefault="00D34CBD" w:rsidP="00D34CBD">
      <w:pPr>
        <w:spacing w:line="276" w:lineRule="auto"/>
        <w:rPr>
          <w:b/>
        </w:rPr>
      </w:pPr>
      <w:r w:rsidRPr="00EC4B19">
        <w:rPr>
          <w:noProof/>
        </w:rPr>
        <w:drawing>
          <wp:inline distT="0" distB="0" distL="0" distR="0" wp14:anchorId="57A6DF15" wp14:editId="37C915E0">
            <wp:extent cx="5760720" cy="1857134"/>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857134"/>
                    </a:xfrm>
                    <a:prstGeom prst="rect">
                      <a:avLst/>
                    </a:prstGeom>
                    <a:noFill/>
                    <a:ln>
                      <a:noFill/>
                    </a:ln>
                  </pic:spPr>
                </pic:pic>
              </a:graphicData>
            </a:graphic>
          </wp:inline>
        </w:drawing>
      </w:r>
    </w:p>
    <w:p w14:paraId="25B3C55D" w14:textId="77777777" w:rsidR="00D34CBD" w:rsidRPr="00EC4B19" w:rsidRDefault="00D34CBD" w:rsidP="00D34CBD">
      <w:pPr>
        <w:spacing w:line="276" w:lineRule="auto"/>
        <w:rPr>
          <w:b/>
        </w:rPr>
      </w:pPr>
    </w:p>
    <w:p w14:paraId="7CA74365" w14:textId="77777777" w:rsidR="00D34CBD" w:rsidRPr="00EC4B19" w:rsidRDefault="00D34CBD" w:rsidP="00986F99"/>
    <w:p w14:paraId="37D165E4" w14:textId="77777777" w:rsidR="00D34CBD" w:rsidRPr="00EC4B19" w:rsidRDefault="00D34CBD" w:rsidP="00986F99"/>
    <w:p w14:paraId="2E195AFF" w14:textId="77777777" w:rsidR="00B468B3" w:rsidRPr="00EC4B19" w:rsidRDefault="00B468B3" w:rsidP="00B468B3">
      <w:pPr>
        <w:spacing w:line="276" w:lineRule="auto"/>
        <w:rPr>
          <w:b/>
        </w:rPr>
      </w:pPr>
    </w:p>
    <w:p w14:paraId="1DC4BEBB" w14:textId="174D7381" w:rsidR="00B468B3" w:rsidRPr="00EC4B19" w:rsidRDefault="00B468B3" w:rsidP="00B468B3">
      <w:pPr>
        <w:spacing w:line="276" w:lineRule="auto"/>
        <w:rPr>
          <w:b/>
        </w:rPr>
      </w:pPr>
    </w:p>
    <w:p w14:paraId="1154DAF5" w14:textId="1F7814C1" w:rsidR="00B468B3" w:rsidRPr="00EC4B19" w:rsidRDefault="00B468B3" w:rsidP="00B468B3">
      <w:pPr>
        <w:spacing w:line="276" w:lineRule="auto"/>
        <w:rPr>
          <w:b/>
        </w:rPr>
      </w:pPr>
    </w:p>
    <w:p w14:paraId="5CC0FD83" w14:textId="01E1029B" w:rsidR="00B468B3" w:rsidRPr="00EC4B19" w:rsidRDefault="00B468B3" w:rsidP="00B468B3">
      <w:pPr>
        <w:spacing w:line="276" w:lineRule="auto"/>
        <w:rPr>
          <w:b/>
        </w:rPr>
      </w:pPr>
    </w:p>
    <w:p w14:paraId="302D9AD3" w14:textId="77777777" w:rsidR="00B468B3" w:rsidRPr="00EC4B19" w:rsidRDefault="00B468B3" w:rsidP="00B468B3">
      <w:pPr>
        <w:spacing w:line="276" w:lineRule="auto"/>
        <w:rPr>
          <w:b/>
        </w:rPr>
      </w:pPr>
    </w:p>
    <w:p w14:paraId="1FD5DA76" w14:textId="77777777" w:rsidR="00B468B3" w:rsidRPr="00EC4B19" w:rsidRDefault="00B468B3" w:rsidP="00B468B3">
      <w:pPr>
        <w:spacing w:line="276" w:lineRule="auto"/>
        <w:rPr>
          <w:b/>
        </w:rPr>
      </w:pPr>
    </w:p>
    <w:p w14:paraId="6A2AA221" w14:textId="77777777" w:rsidR="00B468B3" w:rsidRPr="00EC4B19" w:rsidRDefault="00B468B3" w:rsidP="00B468B3">
      <w:pPr>
        <w:spacing w:line="276" w:lineRule="auto"/>
        <w:rPr>
          <w:b/>
        </w:rPr>
      </w:pPr>
    </w:p>
    <w:p w14:paraId="009AADD9" w14:textId="0DEDBD14" w:rsidR="00B468B3" w:rsidRPr="00EC4B19" w:rsidRDefault="00B468B3" w:rsidP="00B468B3">
      <w:pPr>
        <w:spacing w:line="276" w:lineRule="auto"/>
        <w:rPr>
          <w:b/>
        </w:rPr>
      </w:pPr>
    </w:p>
    <w:p w14:paraId="747B713E" w14:textId="77777777" w:rsidR="00E63976" w:rsidRPr="00EC4B19" w:rsidRDefault="00E63976" w:rsidP="00B468B3">
      <w:pPr>
        <w:spacing w:line="276" w:lineRule="auto"/>
        <w:rPr>
          <w:b/>
        </w:rPr>
      </w:pPr>
    </w:p>
    <w:p w14:paraId="22BFCD79" w14:textId="77777777" w:rsidR="00B468B3" w:rsidRPr="00EC4B19" w:rsidRDefault="00B468B3" w:rsidP="00B468B3">
      <w:pPr>
        <w:tabs>
          <w:tab w:val="left" w:pos="180"/>
          <w:tab w:val="left" w:pos="540"/>
        </w:tabs>
        <w:spacing w:after="120"/>
      </w:pPr>
      <w:r w:rsidRPr="00EC4B19">
        <w:lastRenderedPageBreak/>
        <w:t>Sljedeća tablica daje prikaz strukture plana i izvršenja Računa financiranja državnog proračuna za 2025. godinu.</w:t>
      </w:r>
    </w:p>
    <w:p w14:paraId="333A6A88" w14:textId="77777777" w:rsidR="00B468B3" w:rsidRPr="00EC4B19" w:rsidRDefault="00B468B3" w:rsidP="00B468B3">
      <w:pPr>
        <w:spacing w:line="276" w:lineRule="auto"/>
        <w:rPr>
          <w:b/>
        </w:rPr>
      </w:pPr>
    </w:p>
    <w:p w14:paraId="537A3206" w14:textId="4F02167C" w:rsidR="00B468B3" w:rsidRPr="00EC4B19" w:rsidRDefault="00B468B3" w:rsidP="00791CD5">
      <w:pPr>
        <w:keepNext/>
        <w:spacing w:line="276" w:lineRule="auto"/>
        <w:rPr>
          <w:b/>
        </w:rPr>
      </w:pPr>
      <w:r w:rsidRPr="00EC4B19">
        <w:rPr>
          <w:b/>
        </w:rPr>
        <w:t>Tablica 1</w:t>
      </w:r>
      <w:r w:rsidR="00D34CBD" w:rsidRPr="00EC4B19">
        <w:rPr>
          <w:b/>
        </w:rPr>
        <w:t>2:</w:t>
      </w:r>
      <w:r w:rsidRPr="00EC4B19">
        <w:rPr>
          <w:b/>
        </w:rPr>
        <w:t xml:space="preserve"> Račun financiranja</w:t>
      </w:r>
    </w:p>
    <w:p w14:paraId="4E800C72" w14:textId="54D0C732" w:rsidR="00D31616" w:rsidRPr="00EC4B19" w:rsidRDefault="00D31616" w:rsidP="00986F99">
      <w:r w:rsidRPr="00EC4B19">
        <w:rPr>
          <w:noProof/>
        </w:rPr>
        <w:drawing>
          <wp:inline distT="0" distB="0" distL="0" distR="0" wp14:anchorId="03EA4467" wp14:editId="4D4EE49B">
            <wp:extent cx="5760720" cy="5033429"/>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5033429"/>
                    </a:xfrm>
                    <a:prstGeom prst="rect">
                      <a:avLst/>
                    </a:prstGeom>
                    <a:noFill/>
                    <a:ln>
                      <a:noFill/>
                    </a:ln>
                  </pic:spPr>
                </pic:pic>
              </a:graphicData>
            </a:graphic>
          </wp:inline>
        </w:drawing>
      </w:r>
    </w:p>
    <w:p w14:paraId="6876BA4E" w14:textId="77777777" w:rsidR="00986F99" w:rsidRPr="00EC4B19" w:rsidRDefault="00986F99" w:rsidP="00986F99"/>
    <w:p w14:paraId="0B787BB2" w14:textId="23B54683" w:rsidR="00B468B3" w:rsidRPr="00EC4B19" w:rsidRDefault="00B468B3" w:rsidP="00791CD5"/>
    <w:p w14:paraId="72E050C0" w14:textId="77777777" w:rsidR="001D0EE5" w:rsidRPr="00EC4B19" w:rsidRDefault="001D0EE5" w:rsidP="001D0EE5">
      <w:pPr>
        <w:tabs>
          <w:tab w:val="left" w:pos="180"/>
          <w:tab w:val="left" w:pos="540"/>
        </w:tabs>
      </w:pPr>
      <w:r w:rsidRPr="00EC4B19">
        <w:t xml:space="preserve">Ukupni </w:t>
      </w:r>
      <w:r w:rsidRPr="00EC4B19">
        <w:rPr>
          <w:b/>
        </w:rPr>
        <w:t xml:space="preserve">Primici od financijske imovine i zaduživanja </w:t>
      </w:r>
      <w:r w:rsidRPr="00EC4B19">
        <w:t>u 2025. godini ostvareni su u iznosu od 9,6 milijardi eura.</w:t>
      </w:r>
    </w:p>
    <w:p w14:paraId="2286D941" w14:textId="77777777" w:rsidR="001D0EE5" w:rsidRPr="00EC4B19" w:rsidRDefault="001D0EE5" w:rsidP="001D0EE5">
      <w:pPr>
        <w:tabs>
          <w:tab w:val="left" w:pos="180"/>
          <w:tab w:val="left" w:pos="540"/>
        </w:tabs>
      </w:pPr>
    </w:p>
    <w:p w14:paraId="2A49493D" w14:textId="77777777" w:rsidR="001D0EE5" w:rsidRPr="00EC4B19" w:rsidRDefault="001D0EE5" w:rsidP="001D0EE5">
      <w:pPr>
        <w:tabs>
          <w:tab w:val="left" w:pos="180"/>
          <w:tab w:val="left" w:pos="540"/>
        </w:tabs>
      </w:pPr>
      <w:r w:rsidRPr="00EC4B19">
        <w:t xml:space="preserve">U strukturi ukupnih primitaka od financijske imovine i zaduživanja, 8,1 milijarda eura odnosi se na </w:t>
      </w:r>
      <w:r w:rsidRPr="00EC4B19">
        <w:rPr>
          <w:i/>
        </w:rPr>
        <w:t>Primitke od izdanih financijskih instrumenata - vrijednosnih papira</w:t>
      </w:r>
      <w:r w:rsidRPr="00EC4B19">
        <w:t xml:space="preserve">, 1,2 milijarde eura na </w:t>
      </w:r>
      <w:r w:rsidRPr="00EC4B19">
        <w:rPr>
          <w:i/>
        </w:rPr>
        <w:t>Primitke od zaduživanja,</w:t>
      </w:r>
      <w:r w:rsidRPr="00EC4B19">
        <w:t xml:space="preserve"> 371,3 milijuna eura na </w:t>
      </w:r>
      <w:r w:rsidRPr="00EC4B19">
        <w:rPr>
          <w:i/>
        </w:rPr>
        <w:t xml:space="preserve">Primljene povrate glavnica danih zajmova </w:t>
      </w:r>
      <w:r w:rsidRPr="00EC4B19">
        <w:t xml:space="preserve">i 1,0 milijun eura na </w:t>
      </w:r>
      <w:r w:rsidRPr="00EC4B19">
        <w:rPr>
          <w:i/>
        </w:rPr>
        <w:t>Primitke od prodaje financijskih instrumenata - dionica i udjela u glavnici.</w:t>
      </w:r>
    </w:p>
    <w:p w14:paraId="588B6C98" w14:textId="77777777" w:rsidR="001D0EE5" w:rsidRPr="00EC4B19" w:rsidRDefault="001D0EE5" w:rsidP="001D0EE5">
      <w:pPr>
        <w:tabs>
          <w:tab w:val="left" w:pos="180"/>
          <w:tab w:val="left" w:pos="540"/>
        </w:tabs>
        <w:spacing w:line="276" w:lineRule="auto"/>
      </w:pPr>
    </w:p>
    <w:p w14:paraId="77D1EF56" w14:textId="77777777" w:rsidR="001D0EE5" w:rsidRPr="00EC4B19" w:rsidRDefault="001D0EE5" w:rsidP="001D0EE5">
      <w:pPr>
        <w:tabs>
          <w:tab w:val="left" w:pos="180"/>
          <w:tab w:val="left" w:pos="540"/>
        </w:tabs>
      </w:pPr>
      <w:r w:rsidRPr="00EC4B19">
        <w:t>U strukturi</w:t>
      </w:r>
      <w:r w:rsidRPr="00EC4B19">
        <w:rPr>
          <w:b/>
          <w:i/>
        </w:rPr>
        <w:t xml:space="preserve"> Primljenih povrata glavnica danih zajmova </w:t>
      </w:r>
      <w:r w:rsidRPr="00EC4B19">
        <w:t>u 2025. godini, 116,5 milijuna eura odnosi se na primitke (povrate) glavnice zajmova danih kreditnim i ostalim financijskim institucijama u javnom sektoru, 105,5 milijuna eura na primitke (povrate) glavnice zajmova danih trgovačkim društvima i obrtnicima izvan javnog sektora, 62,9 milijuna eura odnosi se na primitke (povrate) glavnice zajmova danih trgovačkim društvima u javnom sektoru, 47,3 milijuna eura na primitke (povrate) glavnice zajmova danih neprofitnim organizacijama, građanima i kućanstvima i 39,0 milijuna eura na povrate zajmova danih drugim razinama vlasti.</w:t>
      </w:r>
    </w:p>
    <w:p w14:paraId="2E1D1E20" w14:textId="77777777" w:rsidR="001D0EE5" w:rsidRPr="00EC4B19" w:rsidRDefault="001D0EE5" w:rsidP="001D0EE5">
      <w:r w:rsidRPr="00EC4B19">
        <w:lastRenderedPageBreak/>
        <w:t xml:space="preserve">U okviru podskupine </w:t>
      </w:r>
      <w:r w:rsidRPr="00EC4B19">
        <w:rPr>
          <w:i/>
        </w:rPr>
        <w:t>Primici (povrati) glavnice zajmova danih kreditnim i ostalim financijskim institucijama u javnom sektoru</w:t>
      </w:r>
      <w:r w:rsidRPr="00EC4B19">
        <w:t xml:space="preserve"> evidentiran je povrat sredstava u iznosu od 116,5 milijuna eura temeljem ugovora o zajmu zaključenih u 2023. i 2024. godini s Hrvatskom bankom za obnovu i razvitak.</w:t>
      </w:r>
    </w:p>
    <w:p w14:paraId="2E19761C" w14:textId="77777777" w:rsidR="001D0EE5" w:rsidRPr="00EC4B19" w:rsidRDefault="001D0EE5" w:rsidP="001D0EE5"/>
    <w:p w14:paraId="21D4EAC3" w14:textId="77777777" w:rsidR="001D0EE5" w:rsidRPr="00EC4B19" w:rsidRDefault="001D0EE5" w:rsidP="001D0EE5">
      <w:r w:rsidRPr="00EC4B19">
        <w:t xml:space="preserve">U okviru podskupine </w:t>
      </w:r>
      <w:r w:rsidRPr="00EC4B19">
        <w:rPr>
          <w:i/>
        </w:rPr>
        <w:t>Primici (povrati) glavnice zajmova danih trgovačkim društvima i obrtnicima izvan javnog sektora</w:t>
      </w:r>
      <w:r w:rsidRPr="00EC4B19">
        <w:t xml:space="preserve"> evidentiran je iznos od 105,5 milijuna eura, od čega se 101,0 milijun eura odnosi na povrate malih i mikro zajmova i drugih financijskih instrumenata iz Operativnog programa Konkurentnost i kohezija te Programa za ruralni razvoj koje provodi Hrvatska agencija za malo gospodarstvo, inovacije i investicije (HAMAG-BICRO).</w:t>
      </w:r>
    </w:p>
    <w:p w14:paraId="003F0579" w14:textId="77777777" w:rsidR="001D0EE5" w:rsidRPr="00EC4B19" w:rsidRDefault="001D0EE5" w:rsidP="001D0EE5">
      <w:pPr>
        <w:tabs>
          <w:tab w:val="left" w:pos="180"/>
          <w:tab w:val="left" w:pos="540"/>
        </w:tabs>
      </w:pPr>
    </w:p>
    <w:p w14:paraId="0CC1A324" w14:textId="77777777" w:rsidR="001D0EE5" w:rsidRPr="00EC4B19" w:rsidRDefault="001D0EE5" w:rsidP="001D0EE5">
      <w:r w:rsidRPr="00EC4B19">
        <w:t xml:space="preserve">U okviru podskupine </w:t>
      </w:r>
      <w:r w:rsidRPr="00EC4B19">
        <w:rPr>
          <w:i/>
        </w:rPr>
        <w:t>Primici (povrati) glavnice zajmova danih trgovačkim društvima u javnom sektoru</w:t>
      </w:r>
      <w:r w:rsidRPr="00EC4B19">
        <w:t xml:space="preserve"> evidentiran je primitak u iznosu od 62,9 milijuna eura. Najznačajniji iznos od 36,4 milijuna eura odnosi se na povrat zajmova društva Croatia Airlines d.d. Nadalje, primitak u iznosu od 14,6 milijuna eura odnosi se na povrat zajma društva Pružne građevine d.o.o.</w:t>
      </w:r>
    </w:p>
    <w:p w14:paraId="7B9C47AF" w14:textId="77777777" w:rsidR="001D0EE5" w:rsidRPr="00EC4B19" w:rsidRDefault="001D0EE5" w:rsidP="001D0EE5"/>
    <w:p w14:paraId="35770837" w14:textId="77777777" w:rsidR="001D0EE5" w:rsidRPr="00EC4B19" w:rsidRDefault="001D0EE5" w:rsidP="001D0EE5">
      <w:r w:rsidRPr="00EC4B19">
        <w:t xml:space="preserve">Dodatno, iznos od 11,6 milijuna eura odnosi se na primitak s osnove namire potraživanja Republike Hrvatske prema društvu Brodarski institut d.o.o. u likvidaciji preuzimanjem suvlasničkog dijela nekretnine. </w:t>
      </w:r>
    </w:p>
    <w:p w14:paraId="3282F614" w14:textId="77777777" w:rsidR="001D0EE5" w:rsidRPr="00EC4B19" w:rsidRDefault="001D0EE5" w:rsidP="001D0EE5"/>
    <w:p w14:paraId="65273DC5" w14:textId="77777777" w:rsidR="001D0EE5" w:rsidRPr="00EC4B19" w:rsidRDefault="001D0EE5" w:rsidP="001D0EE5">
      <w:r w:rsidRPr="00EC4B19">
        <w:t xml:space="preserve">U okviru podskupine </w:t>
      </w:r>
      <w:r w:rsidRPr="00EC4B19">
        <w:rPr>
          <w:i/>
        </w:rPr>
        <w:t>Primici od povrata glavnice zajmova danih neprofitnim organizacijama, građanima i kućanstvima</w:t>
      </w:r>
      <w:r w:rsidRPr="00EC4B19">
        <w:t xml:space="preserve"> ostvareni su primici u iznosu od 47,3 milijuna eura, od čega se 41,7 milijuna eura odnosi na povrat zajmova dodijeljenih od strane Agencije za pravni promet i posredovanje nekretninama (APN) po Programu društveno poticajne stanogradnje, dok se 4,8 milijuna eura odnosi na povrat zajmova dodijeljenih od strane Ministarstva hrvatskih branitelja za stambeno zbrinjavanje hrvatskih branitelja. </w:t>
      </w:r>
    </w:p>
    <w:p w14:paraId="2D79ACF9" w14:textId="77777777" w:rsidR="001D0EE5" w:rsidRPr="00EC4B19" w:rsidRDefault="001D0EE5" w:rsidP="001D0EE5">
      <w:pPr>
        <w:tabs>
          <w:tab w:val="left" w:pos="180"/>
          <w:tab w:val="left" w:pos="540"/>
        </w:tabs>
      </w:pPr>
    </w:p>
    <w:p w14:paraId="2FED9058" w14:textId="77777777" w:rsidR="001D0EE5" w:rsidRPr="00EC4B19" w:rsidRDefault="001D0EE5" w:rsidP="001D0EE5">
      <w:r w:rsidRPr="00EC4B19">
        <w:t xml:space="preserve">U okviru podskupine Povrat zajmova danih drugim razinama vlasti ostvareni su primici  u iznosu od 39,0 milijuna eura, od čega se iznos od 31,9 milijuna eura odnosi na povrate beskamatnih zajmova danih jedinicama lokalne i područne (regionalne) samouprave i Hrvatskom zavodu za zdravstveno osiguranje sukladno Naputku o načinu isplate beskamatnog zajma jedinicama lokalne i područne (regionalne) samouprave, Hrvatskom zavodu za mirovinsko osiguranje i Hrvatskom zavodu za zdravstveno osiguranje (Narodne novine, br. 46/20., 5/21. i 73/21.), Naputku o isplati sredstava beskamatnog zajma jedinicama lokalne i područne (regionalne) samouprave uslijed pada prihoda (Narodne novine, br. 130/20.), Odluci o dodjeli beskamatnog zajma jedinicama lokalne i područne (regionalne) samouprave koje su pogođene posljedicama razornih potresa na području Grada Zagreba, Zagrebačke županije, Krapinsko-zagorske županije, Sisačko-moslavačke županije i Karlovačke županije za sanaciju šteta od potresa (Narodne novine, br. 101/21.), Odluci o dodjeli beskamatnog zajma jedinicama lokalne i područne (regionalne) samouprave uslijed pada prihoda (Narodne novine, br. 136/21.) i Odluci o dodjeli beskamatnog zajma jedinicama lokalne i područne (regionalne) samouprave u 2025. godini zbog nemogućnosti podmirenja dospjelih obveza po pravomoćnim sudskim i upravnim odlukama ili nagodbama (Narodne novine, br. 25/25.). </w:t>
      </w:r>
    </w:p>
    <w:p w14:paraId="47C7492C" w14:textId="77777777" w:rsidR="001D0EE5" w:rsidRPr="00EC4B19" w:rsidRDefault="001D0EE5" w:rsidP="001D0EE5"/>
    <w:p w14:paraId="434F0895" w14:textId="77777777" w:rsidR="001D0EE5" w:rsidRPr="00EC4B19" w:rsidRDefault="001D0EE5" w:rsidP="001D0EE5">
      <w:r w:rsidRPr="00EC4B19">
        <w:t xml:space="preserve">Iznos od 61,7 tisuća eura odnosi se na povrate namirenja nedostajućih sredstava korištenih za povrat poreza na dohodak po godišnjim prijavama za prethodne godine. </w:t>
      </w:r>
    </w:p>
    <w:p w14:paraId="4A090FAC" w14:textId="77777777" w:rsidR="001D0EE5" w:rsidRPr="00EC4B19" w:rsidRDefault="001D0EE5" w:rsidP="001D0EE5"/>
    <w:p w14:paraId="58AB27A1" w14:textId="3CD4D8CC" w:rsidR="001D0EE5" w:rsidRDefault="001D0EE5" w:rsidP="001D0EE5">
      <w:pPr>
        <w:tabs>
          <w:tab w:val="left" w:pos="180"/>
          <w:tab w:val="left" w:pos="540"/>
        </w:tabs>
      </w:pPr>
      <w:r w:rsidRPr="00EC4B19">
        <w:t xml:space="preserve">Nadalje, iznos od 6,1 milijun eura odnosi se na refundaciju sredstava Hrvatskih voda za zajmove Razvojne banke Vijeća Europe (CEB) i Europske investicijske banke (EIB) za </w:t>
      </w:r>
      <w:r w:rsidRPr="00EC4B19">
        <w:lastRenderedPageBreak/>
        <w:t>financiranje projekata vodnog gospodarstva (Projekt zaštite od poplava, Projekt financiranja vodno-komunalne infrastrukture).</w:t>
      </w:r>
    </w:p>
    <w:p w14:paraId="4C8DCE38" w14:textId="77777777" w:rsidR="0085670E" w:rsidRPr="00EC4B19" w:rsidRDefault="0085670E" w:rsidP="001D0EE5">
      <w:pPr>
        <w:tabs>
          <w:tab w:val="left" w:pos="180"/>
          <w:tab w:val="left" w:pos="540"/>
        </w:tabs>
      </w:pPr>
    </w:p>
    <w:p w14:paraId="07E2186A" w14:textId="77777777" w:rsidR="001D0EE5" w:rsidRPr="00EC4B19" w:rsidRDefault="001D0EE5" w:rsidP="001D0EE5">
      <w:pPr>
        <w:tabs>
          <w:tab w:val="left" w:pos="180"/>
          <w:tab w:val="left" w:pos="540"/>
        </w:tabs>
      </w:pPr>
      <w:r w:rsidRPr="00EC4B19">
        <w:rPr>
          <w:b/>
          <w:i/>
        </w:rPr>
        <w:t xml:space="preserve">Primici od izdanih financijskih instrumenata - vrijednosnih papira </w:t>
      </w:r>
      <w:r w:rsidRPr="00EC4B19">
        <w:t>u izvještajnom razdoblju ostvareni su u</w:t>
      </w:r>
      <w:r w:rsidRPr="00EC4B19">
        <w:rPr>
          <w:b/>
          <w:i/>
        </w:rPr>
        <w:t xml:space="preserve"> </w:t>
      </w:r>
      <w:r w:rsidRPr="00EC4B19">
        <w:t>iznosu od 8,1 milijardu eura, od čega se 4,0 milijarde eura odnosi na obveznice izdane na tuzemnom tržištu kapitala, a 2,0 milijarde eura na obveznice izdane na inozemnom tržištu kapitala. Također, unutar ove skupine iskazani su primici od trezorskih zapisa u neto iznosu od 2,1 milijardu eura.</w:t>
      </w:r>
    </w:p>
    <w:p w14:paraId="07CF5B2D" w14:textId="77777777" w:rsidR="001D0EE5" w:rsidRPr="00EC4B19" w:rsidRDefault="001D0EE5" w:rsidP="001D0EE5"/>
    <w:p w14:paraId="38E97775" w14:textId="77777777" w:rsidR="001D0EE5" w:rsidRPr="00EC4B19" w:rsidRDefault="001D0EE5" w:rsidP="001D0EE5">
      <w:pPr>
        <w:tabs>
          <w:tab w:val="left" w:pos="180"/>
          <w:tab w:val="left" w:pos="540"/>
        </w:tabs>
      </w:pPr>
      <w:r w:rsidRPr="00EC4B19">
        <w:t xml:space="preserve">Republika Hrvatska je u veljači 2025. godine izdala </w:t>
      </w:r>
      <w:proofErr w:type="spellStart"/>
      <w:r w:rsidRPr="00EC4B19">
        <w:t>euroobveznice</w:t>
      </w:r>
      <w:proofErr w:type="spellEnd"/>
      <w:r w:rsidRPr="00EC4B19">
        <w:t xml:space="preserve"> na međunarodnom tržištu kapitala u ukupnom nominalnom iznosu od 2,0 milijarde eura, uz godišnju kamatnu stopu od 3,25% s dospijećem u 2037. godini.</w:t>
      </w:r>
    </w:p>
    <w:p w14:paraId="6F98A07D" w14:textId="77777777" w:rsidR="001D0EE5" w:rsidRPr="00EC4B19" w:rsidRDefault="001D0EE5" w:rsidP="001D0EE5"/>
    <w:p w14:paraId="4D51C535" w14:textId="77777777" w:rsidR="001D0EE5" w:rsidRPr="00EC4B19" w:rsidRDefault="001D0EE5" w:rsidP="001D0EE5">
      <w:r w:rsidRPr="00EC4B19">
        <w:t xml:space="preserve">Također, u ožujku 2025. godine Republika Hrvatska je izdala na domaćem tržištu kapitala obveznice dospijeća 2027. godine u nominalnom iznosu od 1,75 milijardi eura, uz godišnju kamatnu stopu 2,65% te obveznice dospijeća u 2030. godini u nominalnom iznosu od 1,25 milijardi eura, uz godišnju kamatnu stopu 3,00%. Dvogodišnje obveznice koje dospijevaju u 2027. godini bile su namijenjene građanima i institucionalnim </w:t>
      </w:r>
      <w:proofErr w:type="spellStart"/>
      <w:r w:rsidRPr="00EC4B19">
        <w:t>ulagateljima</w:t>
      </w:r>
      <w:proofErr w:type="spellEnd"/>
      <w:r w:rsidRPr="00EC4B19">
        <w:t xml:space="preserve"> pri čemu su građani uplatili 590,5 milijuna eura, dok su institucionalni </w:t>
      </w:r>
      <w:proofErr w:type="spellStart"/>
      <w:r w:rsidRPr="00EC4B19">
        <w:t>ulagatelji</w:t>
      </w:r>
      <w:proofErr w:type="spellEnd"/>
      <w:r w:rsidRPr="00EC4B19">
        <w:t xml:space="preserve"> uplatili 1.159,5 milijuna eura. </w:t>
      </w:r>
    </w:p>
    <w:p w14:paraId="55076E60" w14:textId="77777777" w:rsidR="001D0EE5" w:rsidRPr="00EC4B19" w:rsidRDefault="001D0EE5" w:rsidP="001D0EE5"/>
    <w:p w14:paraId="192236D6" w14:textId="77777777" w:rsidR="001D0EE5" w:rsidRPr="00EC4B19" w:rsidRDefault="001D0EE5" w:rsidP="001D0EE5">
      <w:r w:rsidRPr="00EC4B19">
        <w:t>Nadalje, u srpnju 2025. godine Republika Hrvatska je izdala na domaćem tržištu kapitala obveznice u nominalnom iznosu od 1,0 milijardu eura s dospijećem u 2035. godini, uz kamatnu stopu od 3,00%.</w:t>
      </w:r>
    </w:p>
    <w:p w14:paraId="509E810A" w14:textId="77777777" w:rsidR="001D0EE5" w:rsidRPr="00EC4B19" w:rsidRDefault="001D0EE5" w:rsidP="001D0EE5"/>
    <w:p w14:paraId="6BC9398B" w14:textId="77777777" w:rsidR="001D0EE5" w:rsidRPr="00EC4B19" w:rsidRDefault="001D0EE5" w:rsidP="001D0EE5">
      <w:pPr>
        <w:tabs>
          <w:tab w:val="left" w:pos="180"/>
          <w:tab w:val="left" w:pos="540"/>
        </w:tabs>
      </w:pPr>
      <w:r w:rsidRPr="00EC4B19">
        <w:t>Također, u 2025. godini Republika Hrvatska izdala je ukupno 8,8 milijardi eura trezorskih zapisa, od kojih je 6,9 milijardi eura izdano fizičkim osobama s rokovima dospijeća od 91 i 364 dana, što uključuje i reinvestirane iznose. U istom razdoblju otplaćeno je glavnice trezorskih zapisa u iznosu od 6,7 milijardi eura tako da je u Računu financiranja iskazan neto efekt u iznosu od 2,1 milijardu eura.</w:t>
      </w:r>
    </w:p>
    <w:p w14:paraId="21B16C54" w14:textId="77777777" w:rsidR="001D0EE5" w:rsidRPr="00EC4B19" w:rsidRDefault="001D0EE5" w:rsidP="001D0EE5">
      <w:pPr>
        <w:tabs>
          <w:tab w:val="left" w:pos="180"/>
          <w:tab w:val="left" w:pos="540"/>
        </w:tabs>
      </w:pPr>
    </w:p>
    <w:p w14:paraId="2E959C79" w14:textId="77777777" w:rsidR="001D0EE5" w:rsidRPr="00EC4B19" w:rsidRDefault="001D0EE5" w:rsidP="001D0EE5">
      <w:pPr>
        <w:tabs>
          <w:tab w:val="left" w:pos="180"/>
          <w:tab w:val="left" w:pos="540"/>
        </w:tabs>
      </w:pPr>
      <w:r w:rsidRPr="00EC4B19">
        <w:rPr>
          <w:b/>
          <w:i/>
        </w:rPr>
        <w:t>Primici od prodaje financijskih instrumenata - dionica i udjela u glavnici,</w:t>
      </w:r>
      <w:r w:rsidRPr="00EC4B19">
        <w:t xml:space="preserve"> ostvareni su u iznosu od 1,0 milijun eura, od čega je 966,9 tisuća eura ostvareno od prodaje dionica u vlasništvu Republike Hrvatske i u vlasništvu Hrvatskog zavoda za mirovinsko osiguranje. Sredstva od prodaje dionica uplaćena su u državni proračun od strane Centra za restrukturiranje i prodaju koji u svojstvu zakonskog zastupnika, temeljem Zakona o upravljanju državnom imovinom, upravlja dionicama i udjelima čiji je imatelj ili ovlaštenik Republika Hrvatska i Hrvatski zavod za mirovinsko osiguranje. </w:t>
      </w:r>
    </w:p>
    <w:p w14:paraId="3CA08C26" w14:textId="77777777" w:rsidR="001D0EE5" w:rsidRPr="00EC4B19" w:rsidRDefault="001D0EE5" w:rsidP="001D0EE5">
      <w:pPr>
        <w:tabs>
          <w:tab w:val="left" w:pos="180"/>
          <w:tab w:val="left" w:pos="540"/>
        </w:tabs>
      </w:pPr>
    </w:p>
    <w:p w14:paraId="762D5E80" w14:textId="77777777" w:rsidR="001D0EE5" w:rsidRPr="00EC4B19" w:rsidRDefault="001D0EE5" w:rsidP="001D0EE5">
      <w:pPr>
        <w:tabs>
          <w:tab w:val="left" w:pos="180"/>
          <w:tab w:val="left" w:pos="540"/>
        </w:tabs>
      </w:pPr>
      <w:r w:rsidRPr="00EC4B19">
        <w:rPr>
          <w:b/>
          <w:i/>
        </w:rPr>
        <w:t xml:space="preserve">U okviru primitaka od zaduživanja, </w:t>
      </w:r>
      <w:r w:rsidRPr="00EC4B19">
        <w:t xml:space="preserve">ostvarenih u ukupnom iznosu od 1,2 milijarde eura, najznačajniji iznos od 864,6 milijuna eura, evidentiran u okviru podskupine </w:t>
      </w:r>
      <w:r w:rsidRPr="00EC4B19">
        <w:rPr>
          <w:i/>
        </w:rPr>
        <w:t xml:space="preserve">Primljeni krediti i zajmovi od međunarodnih organizacija, institucija i tijela EU te inozemnih vlada, </w:t>
      </w:r>
      <w:r w:rsidRPr="00EC4B19">
        <w:t xml:space="preserve">odnosi se na primitak s osnove zajma u okviru Nacionalnog plana oporavka i otpornosti iz Mehanizma za oporavak i otpornost. Mehanizam za oporavak i otpornost privremeni je instrument pomoću kojeg Europska unija prikuplja sredstva zaduživanjem na tržištima kapitala (izdavanjem obveznica u ime EU), a sredstva zatim stavlja na raspolaganje državama članicama za provedbu reformi i ulaganja kako bi svoja gospodarstva i društva učinila održivijima, otpornijima i spremnijima za zelenu i digitalnu tranziciju. </w:t>
      </w:r>
    </w:p>
    <w:p w14:paraId="458F4664" w14:textId="77777777" w:rsidR="001D0EE5" w:rsidRPr="00EC4B19" w:rsidRDefault="001D0EE5" w:rsidP="001D0EE5">
      <w:pPr>
        <w:tabs>
          <w:tab w:val="left" w:pos="180"/>
          <w:tab w:val="left" w:pos="540"/>
        </w:tabs>
      </w:pPr>
    </w:p>
    <w:p w14:paraId="248C47C4" w14:textId="77777777" w:rsidR="001D0EE5" w:rsidRPr="00EC4B19" w:rsidRDefault="001D0EE5" w:rsidP="001D0EE5">
      <w:pPr>
        <w:tabs>
          <w:tab w:val="left" w:pos="180"/>
          <w:tab w:val="left" w:pos="540"/>
        </w:tabs>
      </w:pPr>
      <w:r w:rsidRPr="00EC4B19">
        <w:t>Nadalje, iznos od 116,6 milijuna eura odnosi se na sredstva za provedbu financijskih instrumenata financiranih iz sredstava strukturnih i investicijskih fondova Europske unije.</w:t>
      </w:r>
    </w:p>
    <w:p w14:paraId="7692AC62" w14:textId="77777777" w:rsidR="001D0EE5" w:rsidRPr="00EC4B19" w:rsidRDefault="001D0EE5" w:rsidP="001D0EE5">
      <w:pPr>
        <w:tabs>
          <w:tab w:val="left" w:pos="180"/>
          <w:tab w:val="left" w:pos="540"/>
        </w:tabs>
      </w:pPr>
      <w:r w:rsidRPr="00EC4B19">
        <w:lastRenderedPageBreak/>
        <w:t xml:space="preserve">Na istoj podskupini evidentirana je druga tranša zajma Europske investicijske banke (EIB) za Projekt „Revitalizacija željezničkog sustava Republike Hrvatske“ u iznosu od 134,2 milijuna eura. Također, evidentirani su primici sredstava temeljem ugovora o zajmu financiranih sredstvima Međunarodne banke za obnovu i razvitak (IBRD), od čega za Projekt obnove nakon potresa i jačanja pripravnosti javnog zdravstva u iznosu od 30,0 milijuna eura, za projekt „Hrvatska: ususret održivom, pravednom i učinkovitom obrazovanju“ u iznosu od 8,0 milijuna eura te za projekt „Digitalne, inovativne i zelene tehnologije“ u iznosu od 5,0 milijuna eura. </w:t>
      </w:r>
    </w:p>
    <w:p w14:paraId="73EC322C" w14:textId="77777777" w:rsidR="001D0EE5" w:rsidRPr="00EC4B19" w:rsidRDefault="001D0EE5" w:rsidP="001D0EE5">
      <w:pPr>
        <w:tabs>
          <w:tab w:val="left" w:pos="180"/>
          <w:tab w:val="left" w:pos="540"/>
        </w:tabs>
      </w:pPr>
    </w:p>
    <w:p w14:paraId="474DA484" w14:textId="77777777" w:rsidR="001D0EE5" w:rsidRPr="00EC4B19" w:rsidRDefault="001D0EE5" w:rsidP="001D0EE5">
      <w:pPr>
        <w:tabs>
          <w:tab w:val="left" w:pos="180"/>
          <w:tab w:val="left" w:pos="540"/>
        </w:tabs>
        <w:rPr>
          <w:i/>
        </w:rPr>
      </w:pPr>
      <w:r w:rsidRPr="00EC4B19">
        <w:t xml:space="preserve">U 2025. godini </w:t>
      </w:r>
      <w:r w:rsidRPr="00EC4B19">
        <w:rPr>
          <w:b/>
        </w:rPr>
        <w:t xml:space="preserve">Izdaci za financijsku imovinu i otplate zajmova </w:t>
      </w:r>
      <w:r w:rsidRPr="00EC4B19">
        <w:t xml:space="preserve">iznose 6,6 milijardi eura, od čega se najznačajniji iznos od 4,8 milijardi eura odnosi na </w:t>
      </w:r>
      <w:r w:rsidRPr="00EC4B19">
        <w:rPr>
          <w:i/>
        </w:rPr>
        <w:t>Izdatke za otplatu glavnice za izdane financijske instrumente - vrijednosne papire</w:t>
      </w:r>
      <w:r w:rsidRPr="00EC4B19">
        <w:t xml:space="preserve">, dok se iznos od 1,5 milijardi eura odnosi na </w:t>
      </w:r>
      <w:r w:rsidRPr="00EC4B19">
        <w:rPr>
          <w:i/>
        </w:rPr>
        <w:t>Izdatke za otplatu glavnice primljenih kredita i zajmova</w:t>
      </w:r>
      <w:r w:rsidRPr="00EC4B19">
        <w:t xml:space="preserve">. Nadalje, </w:t>
      </w:r>
      <w:r w:rsidRPr="00EC4B19">
        <w:rPr>
          <w:i/>
        </w:rPr>
        <w:t xml:space="preserve">Izdaci za dane zajmove i </w:t>
      </w:r>
      <w:proofErr w:type="spellStart"/>
      <w:r w:rsidRPr="00EC4B19">
        <w:rPr>
          <w:i/>
        </w:rPr>
        <w:t>jamčevne</w:t>
      </w:r>
      <w:proofErr w:type="spellEnd"/>
      <w:r w:rsidRPr="00EC4B19">
        <w:rPr>
          <w:i/>
        </w:rPr>
        <w:t xml:space="preserve"> </w:t>
      </w:r>
      <w:proofErr w:type="spellStart"/>
      <w:r w:rsidRPr="00EC4B19">
        <w:rPr>
          <w:i/>
        </w:rPr>
        <w:t>pologe</w:t>
      </w:r>
      <w:proofErr w:type="spellEnd"/>
      <w:r w:rsidRPr="00EC4B19">
        <w:rPr>
          <w:i/>
        </w:rPr>
        <w:t xml:space="preserve"> </w:t>
      </w:r>
      <w:r w:rsidRPr="00EC4B19">
        <w:t xml:space="preserve">izvršeni su u iznosu od 166,6 milijuna eura, dok se iznos od 180,3 milijuna eura odnosi na </w:t>
      </w:r>
      <w:r w:rsidRPr="00EC4B19">
        <w:rPr>
          <w:i/>
        </w:rPr>
        <w:t>Izdatke za ulaganja u financijske instrumente - dionice i udjele u glavnici</w:t>
      </w:r>
      <w:r w:rsidRPr="00EC4B19">
        <w:t xml:space="preserve">. Iznos od 10,1 milijun eura odnosi se na </w:t>
      </w:r>
      <w:r w:rsidRPr="00EC4B19">
        <w:rPr>
          <w:i/>
        </w:rPr>
        <w:t>Izdatke za ulaganja u financijske instrumente – vrijednosne papire.</w:t>
      </w:r>
    </w:p>
    <w:p w14:paraId="08AD3067" w14:textId="77777777" w:rsidR="001D0EE5" w:rsidRPr="00EC4B19" w:rsidRDefault="001D0EE5" w:rsidP="001D0EE5">
      <w:pPr>
        <w:tabs>
          <w:tab w:val="left" w:pos="180"/>
          <w:tab w:val="left" w:pos="540"/>
        </w:tabs>
      </w:pPr>
    </w:p>
    <w:p w14:paraId="772687BA" w14:textId="77777777" w:rsidR="001D0EE5" w:rsidRPr="00EC4B19" w:rsidRDefault="001D0EE5" w:rsidP="001D0EE5">
      <w:pPr>
        <w:tabs>
          <w:tab w:val="left" w:pos="180"/>
          <w:tab w:val="left" w:pos="540"/>
        </w:tabs>
      </w:pPr>
      <w:r w:rsidRPr="00EC4B19">
        <w:t xml:space="preserve">U strukturi </w:t>
      </w:r>
      <w:r w:rsidRPr="00EC4B19">
        <w:rPr>
          <w:b/>
          <w:i/>
        </w:rPr>
        <w:t xml:space="preserve">Izdataka za dane zajmove i </w:t>
      </w:r>
      <w:proofErr w:type="spellStart"/>
      <w:r w:rsidRPr="00EC4B19">
        <w:rPr>
          <w:b/>
          <w:i/>
        </w:rPr>
        <w:t>jamčevne</w:t>
      </w:r>
      <w:proofErr w:type="spellEnd"/>
      <w:r w:rsidRPr="00EC4B19">
        <w:rPr>
          <w:b/>
          <w:i/>
        </w:rPr>
        <w:t xml:space="preserve"> </w:t>
      </w:r>
      <w:proofErr w:type="spellStart"/>
      <w:r w:rsidRPr="00EC4B19">
        <w:rPr>
          <w:b/>
          <w:i/>
        </w:rPr>
        <w:t>pologe</w:t>
      </w:r>
      <w:proofErr w:type="spellEnd"/>
      <w:r w:rsidRPr="00EC4B19">
        <w:t xml:space="preserve">, izvršenih u iznosu od 166,6 milijuna eura, najznačajniji iznos od 139,0 milijuna eura odnosi se na izdatke za dane zajmove trgovačkim društvima i obrtnicima izvan javnog sektora financiranih iz </w:t>
      </w:r>
      <w:r w:rsidRPr="00EC4B19">
        <w:rPr>
          <w:b/>
        </w:rPr>
        <w:t>financijskih instrumenata</w:t>
      </w:r>
      <w:r w:rsidRPr="00EC4B19">
        <w:t>, kao jednog od načina korištenja sredstava iz fondova Europske unije. U 2025. godini dodijeljeni su krediti za energetsku efikasnost poduzetnika, mali zajmovi za žene poduzetnice i poduzetnike početnike, mikro i mali zajmovi za ruralni razvoj, mali zajmovi za investicije i za obrtna sredstva, nacionalni zajmovi za investicije i obrtna sredstva, zajmovi iz Strateškog plana Zajedničke poljoprivredne politike, mikro zajmovi za rast i uključenost. Zajmovi su sufinancirani iz sredstava strukturnih i europskih fondova Europske unije u iznosu od 116,6 milijuna eura, nacionalnog sufinanciranja u iznosu od 3,4 milijuna eura te sredstvima prikupljenih povratom zajmova u okviru financijskih instrumenata iz prethodne financijske perspektive u iznosu od 18,9 milijuna eura.</w:t>
      </w:r>
    </w:p>
    <w:p w14:paraId="1C31E023" w14:textId="77777777" w:rsidR="001D0EE5" w:rsidRPr="00EC4B19" w:rsidRDefault="001D0EE5" w:rsidP="001D0EE5">
      <w:pPr>
        <w:tabs>
          <w:tab w:val="left" w:pos="180"/>
          <w:tab w:val="left" w:pos="540"/>
        </w:tabs>
      </w:pPr>
    </w:p>
    <w:p w14:paraId="4070520B" w14:textId="77777777" w:rsidR="001D0EE5" w:rsidRPr="00EC4B19" w:rsidRDefault="001D0EE5" w:rsidP="001D0EE5">
      <w:pPr>
        <w:tabs>
          <w:tab w:val="left" w:pos="180"/>
          <w:tab w:val="left" w:pos="540"/>
        </w:tabs>
      </w:pPr>
      <w:r w:rsidRPr="00EC4B19">
        <w:t xml:space="preserve">U okviru Izdataka za dane zajmove i </w:t>
      </w:r>
      <w:proofErr w:type="spellStart"/>
      <w:r w:rsidRPr="00EC4B19">
        <w:t>jamčevne</w:t>
      </w:r>
      <w:proofErr w:type="spellEnd"/>
      <w:r w:rsidRPr="00EC4B19">
        <w:t xml:space="preserve"> </w:t>
      </w:r>
      <w:proofErr w:type="spellStart"/>
      <w:r w:rsidRPr="00EC4B19">
        <w:t>pologe</w:t>
      </w:r>
      <w:proofErr w:type="spellEnd"/>
      <w:r w:rsidRPr="00EC4B19">
        <w:t>, evidentirani su i krediti za stambeno zbrinjavanje hrvatskih branitelja koje dodjeljuje Ministarstvo hrvatskih branitelja u iznosu od 2,7 milijuna eura te 5,1 milijun eura za zajmove iz Programa poticajne stanogradnje koje dodjeljuje Agencija za pravni promet i posredovanje nekretninama (APN).</w:t>
      </w:r>
    </w:p>
    <w:p w14:paraId="300833BC" w14:textId="77777777" w:rsidR="001D0EE5" w:rsidRPr="00EC4B19" w:rsidRDefault="001D0EE5" w:rsidP="001D0EE5">
      <w:pPr>
        <w:tabs>
          <w:tab w:val="left" w:pos="180"/>
          <w:tab w:val="left" w:pos="540"/>
        </w:tabs>
      </w:pPr>
    </w:p>
    <w:p w14:paraId="45B56E91" w14:textId="77777777" w:rsidR="001D0EE5" w:rsidRPr="00EC4B19" w:rsidRDefault="001D0EE5" w:rsidP="001D0EE5">
      <w:pPr>
        <w:pStyle w:val="StandardWeb"/>
        <w:shd w:val="clear" w:color="auto" w:fill="FFFFFF"/>
        <w:spacing w:before="0" w:beforeAutospacing="0" w:after="0" w:afterAutospacing="0"/>
        <w:jc w:val="both"/>
      </w:pPr>
      <w:r w:rsidRPr="00EC4B19">
        <w:t xml:space="preserve">Nadalje, u okviru iste skupine Izdataka za dane zajmove i </w:t>
      </w:r>
      <w:proofErr w:type="spellStart"/>
      <w:r w:rsidRPr="00EC4B19">
        <w:t>jamčevne</w:t>
      </w:r>
      <w:proofErr w:type="spellEnd"/>
      <w:r w:rsidRPr="00EC4B19">
        <w:t xml:space="preserve"> </w:t>
      </w:r>
      <w:proofErr w:type="spellStart"/>
      <w:r w:rsidRPr="00EC4B19">
        <w:t>pologe</w:t>
      </w:r>
      <w:proofErr w:type="spellEnd"/>
      <w:r w:rsidRPr="00EC4B19">
        <w:t xml:space="preserve"> evidentirani su Izdaci za dane zajmove drugim razinama vlasti u iznosu od 19,8 milijuna eura, dodijeljeni temeljem Odluke Vlade Republike Hrvatske o dodjeli beskamatnog zajma jedinicama lokalne i područne (regionalne) samouprave u 2025. godini zbog nemogućnosti podmirenja dospjelih obveza po pravomoćnim sudskim i upravnim odlukama ili nagodbama (Narodne novine, br. 25/25.). </w:t>
      </w:r>
    </w:p>
    <w:p w14:paraId="5C5F7E26" w14:textId="77777777" w:rsidR="001D0EE5" w:rsidRPr="00EC4B19" w:rsidRDefault="001D0EE5" w:rsidP="001D0EE5">
      <w:pPr>
        <w:pStyle w:val="StandardWeb"/>
        <w:shd w:val="clear" w:color="auto" w:fill="FFFFFF"/>
        <w:spacing w:before="0" w:beforeAutospacing="0" w:after="0" w:afterAutospacing="0"/>
        <w:jc w:val="both"/>
      </w:pPr>
    </w:p>
    <w:p w14:paraId="567770F6" w14:textId="77777777" w:rsidR="001D0EE5" w:rsidRPr="00EC4B19" w:rsidRDefault="001D0EE5" w:rsidP="001D0EE5">
      <w:pPr>
        <w:tabs>
          <w:tab w:val="left" w:pos="180"/>
          <w:tab w:val="left" w:pos="540"/>
        </w:tabs>
        <w:rPr>
          <w:rFonts w:eastAsia="Aptos"/>
          <w:lang w:eastAsia="en-US"/>
        </w:rPr>
      </w:pPr>
      <w:r w:rsidRPr="00EC4B19">
        <w:rPr>
          <w:b/>
          <w:i/>
        </w:rPr>
        <w:t xml:space="preserve">Izdaci za ulaganja u financijske instrumente – vrijednosne papire </w:t>
      </w:r>
      <w:r w:rsidRPr="00EC4B19">
        <w:t>izvršeni su</w:t>
      </w:r>
      <w:r w:rsidRPr="00EC4B19">
        <w:rPr>
          <w:i/>
        </w:rPr>
        <w:t xml:space="preserve"> </w:t>
      </w:r>
      <w:r w:rsidRPr="00EC4B19">
        <w:t xml:space="preserve">u iznosu od 10,1 milijun eura, od čega se 10,0 milijuna eura odnosi na otkup obveznice temeljem Odluke Vlade Republike Hrvatske od 27. lipnja 2025. o ustupanju obveznica Republike Hrvatske hrvatskim ratnim vojnim invalidima iz Domovinskog rata, članovima uže i šire obitelji smrtno stradalog hrvatskog branitelja iz Domovinskog rata i članovima uže i šire obitelji nestalog hrvatskog branitelja iz Domovinskog rata sukladno članku 131. </w:t>
      </w:r>
      <w:r w:rsidRPr="00EC4B19">
        <w:rPr>
          <w:rFonts w:eastAsia="Aptos"/>
          <w:lang w:eastAsia="en-US"/>
        </w:rPr>
        <w:t>Zakona o hrvatskim braniteljima iz Domovinskog rata i članovima njihovih obitelji (Narodne novine, br. 121/17., 98/19., 84/21. i 156/23.).</w:t>
      </w:r>
    </w:p>
    <w:p w14:paraId="02DE5EBA" w14:textId="77777777" w:rsidR="001D0EE5" w:rsidRPr="00EC4B19" w:rsidRDefault="001D0EE5" w:rsidP="001D0EE5">
      <w:pPr>
        <w:tabs>
          <w:tab w:val="left" w:pos="180"/>
          <w:tab w:val="left" w:pos="540"/>
        </w:tabs>
      </w:pPr>
      <w:r w:rsidRPr="00EC4B19">
        <w:rPr>
          <w:b/>
          <w:i/>
        </w:rPr>
        <w:lastRenderedPageBreak/>
        <w:t xml:space="preserve">Izdaci za ulaganja u financijske instrumente - dionice i udjele u glavnici </w:t>
      </w:r>
      <w:r w:rsidRPr="00EC4B19">
        <w:t xml:space="preserve">izvršeni su u ukupnom iznosu od 180,3 milijuna eura, u najvećem dijelu za uplatu u kapital Europskom stabilizacijskom mehanizmu (European </w:t>
      </w:r>
      <w:proofErr w:type="spellStart"/>
      <w:r w:rsidRPr="00EC4B19">
        <w:t>Stability</w:t>
      </w:r>
      <w:proofErr w:type="spellEnd"/>
      <w:r w:rsidRPr="00EC4B19">
        <w:t xml:space="preserve"> </w:t>
      </w:r>
      <w:proofErr w:type="spellStart"/>
      <w:r w:rsidRPr="00EC4B19">
        <w:t>Mechanism</w:t>
      </w:r>
      <w:proofErr w:type="spellEnd"/>
      <w:r w:rsidRPr="00EC4B19">
        <w:t xml:space="preserve"> - ESM) u iznosu od 84,5 milijuna eura te 7,8 milijuna eura za druge obveze Republike Hrvatske za članarine u međunarodnim financijskim institucijama.  </w:t>
      </w:r>
    </w:p>
    <w:p w14:paraId="27E4B095" w14:textId="77777777" w:rsidR="001D0EE5" w:rsidRPr="00EC4B19" w:rsidRDefault="001D0EE5" w:rsidP="001D0EE5">
      <w:pPr>
        <w:pStyle w:val="StandardWeb"/>
        <w:shd w:val="clear" w:color="auto" w:fill="FFFFFF"/>
        <w:spacing w:before="240" w:after="240"/>
        <w:jc w:val="both"/>
      </w:pPr>
      <w:r w:rsidRPr="00EC4B19">
        <w:t xml:space="preserve">Nadalje, u okviru ove skupine izdataka evidentirano je povećanje temeljnog kapitala društva </w:t>
      </w:r>
      <w:r w:rsidRPr="00EC4B19">
        <w:rPr>
          <w:b/>
        </w:rPr>
        <w:t>Croatia Airlines d.d</w:t>
      </w:r>
      <w:r w:rsidRPr="00EC4B19">
        <w:t xml:space="preserve">. u iznosu od 43,0 milijuna eura temeljem Odluke Vlade Republike Hrvatske o odobrenju povećanja temeljnog kapitala društva Croatia Airlines d.d. od 12. prosinca 2025. godine te ulaganja u društva  </w:t>
      </w:r>
      <w:r w:rsidRPr="00EC4B19">
        <w:rPr>
          <w:b/>
        </w:rPr>
        <w:t xml:space="preserve">HŽ infrastruktura d.o.o. </w:t>
      </w:r>
      <w:r w:rsidRPr="00EC4B19">
        <w:t>i</w:t>
      </w:r>
      <w:r w:rsidRPr="00EC4B19">
        <w:rPr>
          <w:b/>
        </w:rPr>
        <w:t xml:space="preserve"> HŽ Putnički prijevoz d.o.o.  </w:t>
      </w:r>
      <w:r w:rsidRPr="00EC4B19">
        <w:t>u ukupnom iznosu od 28,2 milijuna eura.</w:t>
      </w:r>
    </w:p>
    <w:p w14:paraId="0B5701A7" w14:textId="77777777" w:rsidR="001D0EE5" w:rsidRPr="00EC4B19" w:rsidRDefault="001D0EE5" w:rsidP="001D0EE5">
      <w:r w:rsidRPr="00EC4B19">
        <w:t xml:space="preserve">U strukturi </w:t>
      </w:r>
      <w:r w:rsidRPr="00EC4B19">
        <w:rPr>
          <w:b/>
          <w:i/>
        </w:rPr>
        <w:t xml:space="preserve">Izdataka za otplatu glavnice primljenih kredita i zajmova </w:t>
      </w:r>
      <w:r w:rsidRPr="00EC4B19">
        <w:t xml:space="preserve">koji iznose 1,5 milijardi eura, 681,8 milijuna eura odnosi se na </w:t>
      </w:r>
      <w:r w:rsidRPr="00EC4B19">
        <w:rPr>
          <w:i/>
        </w:rPr>
        <w:t>Otplatu glavnice primljenih kredita i zajmova od kreditnih i ostalih financijskih institucija izvan javnog sektora</w:t>
      </w:r>
      <w:r w:rsidRPr="00EC4B19">
        <w:t xml:space="preserve">, 676,8 milijuna eura odnosi se na </w:t>
      </w:r>
      <w:r w:rsidRPr="00EC4B19">
        <w:rPr>
          <w:i/>
        </w:rPr>
        <w:t>Otplatu glavnice primljenih kredita i zajmova od međunarodnih organizacija, institucija i tijela EU te inozemnih vlada</w:t>
      </w:r>
      <w:r w:rsidRPr="00EC4B19">
        <w:t xml:space="preserve">, a 104,2 milijuna eura odnosi se na </w:t>
      </w:r>
      <w:r w:rsidRPr="00EC4B19">
        <w:rPr>
          <w:i/>
        </w:rPr>
        <w:t>Otplatu glavnice primljenih kredita i zajmova od kreditnih i ostalih financijskih institucija u javnom sektoru</w:t>
      </w:r>
      <w:r w:rsidRPr="00EC4B19">
        <w:t>.</w:t>
      </w:r>
    </w:p>
    <w:p w14:paraId="23E70CA8" w14:textId="77777777" w:rsidR="001D0EE5" w:rsidRPr="00EC4B19" w:rsidRDefault="001D0EE5" w:rsidP="001D0EE5"/>
    <w:p w14:paraId="71DD4A37" w14:textId="77777777" w:rsidR="001D0EE5" w:rsidRPr="00EC4B19" w:rsidRDefault="001D0EE5" w:rsidP="001D0EE5">
      <w:r w:rsidRPr="00EC4B19">
        <w:t xml:space="preserve">Na podskupini </w:t>
      </w:r>
      <w:r w:rsidRPr="00EC4B19">
        <w:rPr>
          <w:i/>
        </w:rPr>
        <w:t xml:space="preserve">Otplata glavnice primljenih kredita i zajmova od kreditnih i ostalih financijskih institucija izvan javnog sektora </w:t>
      </w:r>
      <w:r w:rsidRPr="00EC4B19">
        <w:t>evidentirane su otplate dugoročnih kredita prema kreditnim institucijama koje je zaključilo Ministarstvo financija u ime Republike Hrvatske u iznosu od 666,0 milijuna eura te otplate kredita koje je Ministarstvo financija preuzelo od sveučilišta u iznosu od 3,2 milijuna eura. Nadalje, na ovoj podskupini evidentirane su i otplate kredita bolničkih zdravstvenih ustanova u iznosu od 10,4 milijuna eura te lučkih uprava u iznosu od 2,1 milijun eura.</w:t>
      </w:r>
    </w:p>
    <w:p w14:paraId="5175213B" w14:textId="77777777" w:rsidR="001D0EE5" w:rsidRPr="00EC4B19" w:rsidRDefault="001D0EE5" w:rsidP="001D0EE5">
      <w:pPr>
        <w:rPr>
          <w:highlight w:val="cyan"/>
        </w:rPr>
      </w:pPr>
    </w:p>
    <w:p w14:paraId="1588BB03" w14:textId="77777777" w:rsidR="001D0EE5" w:rsidRPr="00EC4B19" w:rsidRDefault="001D0EE5" w:rsidP="001D0EE5">
      <w:r w:rsidRPr="00EC4B19">
        <w:t xml:space="preserve">U okviru podskupine </w:t>
      </w:r>
      <w:r w:rsidRPr="00EC4B19">
        <w:rPr>
          <w:i/>
        </w:rPr>
        <w:t>Otplate glavnice primljenih kredita i zajmova od međunarodnih organizacija, institucija i tijela EU te inozemnih vlada</w:t>
      </w:r>
      <w:r w:rsidRPr="00EC4B19">
        <w:t>, izvršenih u iznosu od 676,8 milijuna eura, najznačajniji iznos od 340,0 milijuna eura odnosi se na otplatu 1. rate zajma Europske unije dodijeljenog u 2020. godini iz instrumenta SURE (</w:t>
      </w:r>
      <w:proofErr w:type="spellStart"/>
      <w:r w:rsidRPr="00EC4B19">
        <w:t>Support</w:t>
      </w:r>
      <w:proofErr w:type="spellEnd"/>
      <w:r w:rsidRPr="00EC4B19">
        <w:t xml:space="preserve"> to </w:t>
      </w:r>
      <w:proofErr w:type="spellStart"/>
      <w:r w:rsidRPr="00EC4B19">
        <w:t>mitigate</w:t>
      </w:r>
      <w:proofErr w:type="spellEnd"/>
      <w:r w:rsidRPr="00EC4B19">
        <w:t xml:space="preserve"> </w:t>
      </w:r>
      <w:proofErr w:type="spellStart"/>
      <w:r w:rsidRPr="00EC4B19">
        <w:t>Unemployment</w:t>
      </w:r>
      <w:proofErr w:type="spellEnd"/>
      <w:r w:rsidRPr="00EC4B19">
        <w:t xml:space="preserve"> </w:t>
      </w:r>
      <w:proofErr w:type="spellStart"/>
      <w:r w:rsidRPr="00EC4B19">
        <w:t>Risks</w:t>
      </w:r>
      <w:proofErr w:type="spellEnd"/>
      <w:r w:rsidRPr="00EC4B19">
        <w:t xml:space="preserve"> </w:t>
      </w:r>
      <w:proofErr w:type="spellStart"/>
      <w:r w:rsidRPr="00EC4B19">
        <w:t>in</w:t>
      </w:r>
      <w:proofErr w:type="spellEnd"/>
      <w:r w:rsidRPr="00EC4B19">
        <w:t xml:space="preserve"> </w:t>
      </w:r>
      <w:proofErr w:type="spellStart"/>
      <w:r w:rsidRPr="00EC4B19">
        <w:t>an</w:t>
      </w:r>
      <w:proofErr w:type="spellEnd"/>
      <w:r w:rsidRPr="00EC4B19">
        <w:t xml:space="preserve"> </w:t>
      </w:r>
      <w:proofErr w:type="spellStart"/>
      <w:r w:rsidRPr="00EC4B19">
        <w:t>Emergency</w:t>
      </w:r>
      <w:proofErr w:type="spellEnd"/>
      <w:r w:rsidRPr="00EC4B19">
        <w:t>) – privremenog instrumenta Europske Unije namijenjenog smanjenju rizika od nezaposlenosti tijekom krize uzrokovane bolešću COVID-19.</w:t>
      </w:r>
    </w:p>
    <w:p w14:paraId="397B2F1E" w14:textId="77777777" w:rsidR="001D0EE5" w:rsidRPr="00EC4B19" w:rsidRDefault="001D0EE5" w:rsidP="001D0EE5"/>
    <w:p w14:paraId="45CB613F" w14:textId="77777777" w:rsidR="001D0EE5" w:rsidRPr="00EC4B19" w:rsidRDefault="001D0EE5" w:rsidP="001D0EE5">
      <w:r w:rsidRPr="00EC4B19">
        <w:t xml:space="preserve">Nadalje, iznos od 200,0 milijuna eura odnosi se na otplatu zajma Međunarodne banke za obnovu i razvoj iz 2010. godine dodijeljenog za razvojnu politiku u fiskalnom, socijalnom i financijskom sektoru. </w:t>
      </w:r>
    </w:p>
    <w:p w14:paraId="265E9571" w14:textId="77777777" w:rsidR="001D0EE5" w:rsidRPr="00EC4B19" w:rsidRDefault="001D0EE5" w:rsidP="001D0EE5"/>
    <w:p w14:paraId="1597C494" w14:textId="77777777" w:rsidR="001D0EE5" w:rsidRPr="00EC4B19" w:rsidRDefault="001D0EE5" w:rsidP="001D0EE5">
      <w:r w:rsidRPr="00EC4B19">
        <w:t xml:space="preserve">U okviru podskupine </w:t>
      </w:r>
      <w:r w:rsidRPr="00EC4B19">
        <w:rPr>
          <w:i/>
        </w:rPr>
        <w:t xml:space="preserve">Otplata glavnice primljenih kredita i zajmova od kreditnih i ostalih financijskih institucija u javnom sektoru </w:t>
      </w:r>
      <w:r w:rsidRPr="00EC4B19">
        <w:t xml:space="preserve">izvršenih u iznosu od 104,2 milijuna eura, najznačajniji iznos od 66,4 milijuna eura odnosi se na povrate kredita Hrvatskoj poštanskoj banci d.d., Zagreb. </w:t>
      </w:r>
    </w:p>
    <w:p w14:paraId="7A5D21E7" w14:textId="77777777" w:rsidR="001D0EE5" w:rsidRPr="00EC4B19" w:rsidRDefault="001D0EE5" w:rsidP="001D0EE5">
      <w:pPr>
        <w:rPr>
          <w:highlight w:val="cyan"/>
        </w:rPr>
      </w:pPr>
    </w:p>
    <w:p w14:paraId="47F0C7C8" w14:textId="783EC6FF" w:rsidR="001D0EE5" w:rsidRPr="00EC4B19" w:rsidRDefault="001D0EE5" w:rsidP="00AB6A56">
      <w:pPr>
        <w:tabs>
          <w:tab w:val="left" w:pos="180"/>
          <w:tab w:val="left" w:pos="540"/>
        </w:tabs>
        <w:spacing w:after="120"/>
      </w:pPr>
      <w:r w:rsidRPr="00EC4B19">
        <w:rPr>
          <w:b/>
          <w:i/>
        </w:rPr>
        <w:t xml:space="preserve">Izdaci za otplatu glavnice za izdane financijske instrumente - vrijednosne papire </w:t>
      </w:r>
      <w:r w:rsidRPr="00EC4B19">
        <w:t>evidentirani su u iznosu od 4,8 milijardi eura, a odnose se na izdatke za otplatu glavnice za obveznice izdane u inozemstvu u iznosu od 1,5 milijardi eura te na obveznice izdane na domaćem tržištu u iznosu od 3,3 milijarde eura.</w:t>
      </w:r>
      <w:r w:rsidRPr="00EC4B19">
        <w:br w:type="page"/>
      </w:r>
    </w:p>
    <w:p w14:paraId="11A3E4ED" w14:textId="0DEFD997" w:rsidR="00EF4287" w:rsidRPr="00EC4B19" w:rsidRDefault="00EF4287" w:rsidP="00683E57">
      <w:pPr>
        <w:keepNext/>
        <w:spacing w:before="240" w:after="60" w:line="276" w:lineRule="auto"/>
        <w:jc w:val="center"/>
        <w:outlineLvl w:val="2"/>
        <w:rPr>
          <w:rFonts w:cs="Arial"/>
          <w:b/>
          <w:bCs/>
        </w:rPr>
      </w:pPr>
      <w:r w:rsidRPr="00EC4B19">
        <w:rPr>
          <w:rFonts w:cs="Arial"/>
          <w:b/>
          <w:bCs/>
        </w:rPr>
        <w:lastRenderedPageBreak/>
        <w:t>UKUPNI MANJAK/VIŠAK OPĆEG PRORAČUNA</w:t>
      </w:r>
    </w:p>
    <w:p w14:paraId="2E381D5B" w14:textId="77777777" w:rsidR="001940DA" w:rsidRPr="00EC4B19" w:rsidRDefault="001940DA" w:rsidP="001940DA">
      <w:pPr>
        <w:spacing w:line="276" w:lineRule="auto"/>
      </w:pPr>
    </w:p>
    <w:p w14:paraId="3963E01F" w14:textId="3038CF38" w:rsidR="001940DA" w:rsidRDefault="00B60BB9" w:rsidP="001940DA">
      <w:pPr>
        <w:spacing w:line="276" w:lineRule="auto"/>
      </w:pPr>
      <w:r w:rsidRPr="00FC23B5">
        <w:t>U 202</w:t>
      </w:r>
      <w:r>
        <w:t>5</w:t>
      </w:r>
      <w:r w:rsidRPr="00FC23B5">
        <w:t xml:space="preserve">. godini ukupni </w:t>
      </w:r>
      <w:r>
        <w:t>manjak</w:t>
      </w:r>
      <w:r w:rsidRPr="00FC23B5">
        <w:t xml:space="preserve"> općeg proračuna prema nacionalnoj metodologiji računskog plana zabilježen je u iznosu od </w:t>
      </w:r>
      <w:r>
        <w:t>3,9</w:t>
      </w:r>
      <w:r w:rsidRPr="00FC23B5">
        <w:t xml:space="preserve"> mili</w:t>
      </w:r>
      <w:r>
        <w:t>jardi</w:t>
      </w:r>
      <w:r w:rsidRPr="00FC23B5">
        <w:t xml:space="preserve"> </w:t>
      </w:r>
      <w:r>
        <w:t>eura</w:t>
      </w:r>
      <w:r w:rsidRPr="00FC23B5">
        <w:t xml:space="preserve"> ili </w:t>
      </w:r>
      <w:r>
        <w:t>4,2</w:t>
      </w:r>
      <w:r w:rsidRPr="00FC23B5">
        <w:t>% BDP-a,</w:t>
      </w:r>
      <w:r>
        <w:t xml:space="preserve"> pri čemu je manjak </w:t>
      </w:r>
      <w:r w:rsidRPr="003515CA">
        <w:t xml:space="preserve">državnog proračuna iznosio </w:t>
      </w:r>
      <w:r>
        <w:t>3,4</w:t>
      </w:r>
      <w:r w:rsidRPr="003515CA">
        <w:t xml:space="preserve"> </w:t>
      </w:r>
      <w:r>
        <w:t>milijarde eura</w:t>
      </w:r>
      <w:r w:rsidRPr="003515CA">
        <w:t xml:space="preserve"> ili </w:t>
      </w:r>
      <w:r>
        <w:t>3,6</w:t>
      </w:r>
      <w:r w:rsidRPr="003515CA">
        <w:t xml:space="preserve">% </w:t>
      </w:r>
      <w:r w:rsidRPr="006C7089">
        <w:t xml:space="preserve">BDP-a, dok su jedinice lokalne i </w:t>
      </w:r>
      <w:r w:rsidRPr="000E77F8">
        <w:t>područne (regionalne) samouprave</w:t>
      </w:r>
      <w:r>
        <w:t xml:space="preserve"> i njihovi izvanproračunski korisnici</w:t>
      </w:r>
      <w:r w:rsidRPr="000E77F8">
        <w:t xml:space="preserve"> </w:t>
      </w:r>
      <w:r w:rsidRPr="00D65336">
        <w:rPr>
          <w:shd w:val="clear" w:color="auto" w:fill="FFFFFF"/>
        </w:rPr>
        <w:t>ostvaril</w:t>
      </w:r>
      <w:r>
        <w:rPr>
          <w:shd w:val="clear" w:color="auto" w:fill="FFFFFF"/>
        </w:rPr>
        <w:t>i</w:t>
      </w:r>
      <w:r w:rsidRPr="00D65336">
        <w:rPr>
          <w:shd w:val="clear" w:color="auto" w:fill="FFFFFF"/>
        </w:rPr>
        <w:t xml:space="preserve"> manjak od 693,4 milijuna eura ili 0,7% BDP-a.</w:t>
      </w:r>
      <w:r w:rsidRPr="00161718">
        <w:t xml:space="preserve"> Izvanproračunski korisnici državnog proračuna ostvarili su višak od 149,2 milijuna eura</w:t>
      </w:r>
      <w:r w:rsidRPr="000E77F8">
        <w:t xml:space="preserve"> ili 0,2% BDP-a.</w:t>
      </w:r>
    </w:p>
    <w:p w14:paraId="23CAD5C3" w14:textId="77777777" w:rsidR="00B60BB9" w:rsidRPr="00EC4B19" w:rsidRDefault="00B60BB9" w:rsidP="001940DA">
      <w:pPr>
        <w:spacing w:line="276" w:lineRule="auto"/>
        <w:rPr>
          <w:sz w:val="16"/>
          <w:szCs w:val="16"/>
        </w:rPr>
      </w:pPr>
    </w:p>
    <w:p w14:paraId="4799CA7F" w14:textId="31455337" w:rsidR="001940DA" w:rsidRPr="00EC4B19" w:rsidRDefault="00EC4B19" w:rsidP="001940DA">
      <w:pPr>
        <w:pStyle w:val="Opisslike"/>
        <w:keepNext/>
        <w:rPr>
          <w:rFonts w:eastAsia="MS Mincho"/>
          <w:b/>
          <w:i w:val="0"/>
          <w:color w:val="auto"/>
          <w:sz w:val="24"/>
          <w:szCs w:val="24"/>
        </w:rPr>
      </w:pPr>
      <w:r>
        <w:rPr>
          <w:rFonts w:eastAsia="MS Mincho"/>
          <w:b/>
          <w:i w:val="0"/>
          <w:color w:val="auto"/>
          <w:sz w:val="24"/>
          <w:szCs w:val="24"/>
        </w:rPr>
        <w:t>Tablica 13:</w:t>
      </w:r>
      <w:r w:rsidR="001940DA" w:rsidRPr="00EC4B19">
        <w:rPr>
          <w:rFonts w:eastAsia="MS Mincho"/>
          <w:b/>
          <w:i w:val="0"/>
          <w:color w:val="auto"/>
          <w:sz w:val="24"/>
          <w:szCs w:val="24"/>
        </w:rPr>
        <w:t xml:space="preserve"> Manjak/višak državnog proračuna</w:t>
      </w:r>
    </w:p>
    <w:p w14:paraId="614FC3B0" w14:textId="5BA0A0BB" w:rsidR="000345BB" w:rsidRPr="00EC4B19" w:rsidRDefault="000345BB" w:rsidP="001940DA">
      <w:pPr>
        <w:spacing w:line="276" w:lineRule="auto"/>
      </w:pPr>
      <w:r w:rsidRPr="000345BB">
        <w:rPr>
          <w:noProof/>
        </w:rPr>
        <w:drawing>
          <wp:inline distT="0" distB="0" distL="0" distR="0" wp14:anchorId="031E9EC9" wp14:editId="5D2FACAC">
            <wp:extent cx="5760720" cy="1224039"/>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1224039"/>
                    </a:xfrm>
                    <a:prstGeom prst="rect">
                      <a:avLst/>
                    </a:prstGeom>
                    <a:noFill/>
                    <a:ln>
                      <a:noFill/>
                    </a:ln>
                  </pic:spPr>
                </pic:pic>
              </a:graphicData>
            </a:graphic>
          </wp:inline>
        </w:drawing>
      </w:r>
    </w:p>
    <w:p w14:paraId="281D2A5B" w14:textId="77777777" w:rsidR="001940DA" w:rsidRPr="00EC4B19" w:rsidRDefault="001940DA" w:rsidP="001940DA">
      <w:pPr>
        <w:spacing w:after="120" w:line="276" w:lineRule="auto"/>
        <w:rPr>
          <w:sz w:val="20"/>
          <w:szCs w:val="20"/>
        </w:rPr>
      </w:pPr>
      <w:r w:rsidRPr="00EC4B19">
        <w:rPr>
          <w:sz w:val="20"/>
          <w:szCs w:val="20"/>
        </w:rPr>
        <w:t>Izvor: Ministarstvo financija</w:t>
      </w:r>
    </w:p>
    <w:p w14:paraId="01EEBF80" w14:textId="77777777" w:rsidR="001940DA" w:rsidRPr="00EC4B19" w:rsidRDefault="001940DA" w:rsidP="001940DA">
      <w:pPr>
        <w:spacing w:line="276" w:lineRule="auto"/>
        <w:rPr>
          <w:sz w:val="10"/>
          <w:szCs w:val="10"/>
        </w:rPr>
      </w:pPr>
    </w:p>
    <w:p w14:paraId="3F354E31" w14:textId="77777777" w:rsidR="001940DA" w:rsidRPr="00EC4B19" w:rsidRDefault="001940DA" w:rsidP="001940DA">
      <w:pPr>
        <w:spacing w:line="276" w:lineRule="auto"/>
        <w:rPr>
          <w:sz w:val="10"/>
          <w:szCs w:val="10"/>
          <w:highlight w:val="yellow"/>
        </w:rPr>
      </w:pPr>
    </w:p>
    <w:p w14:paraId="298E1CAA" w14:textId="77777777" w:rsidR="00B60BB9" w:rsidRPr="00161718" w:rsidRDefault="00EC4B19" w:rsidP="00B60BB9">
      <w:pPr>
        <w:pStyle w:val="Opisslike"/>
        <w:keepNext/>
        <w:rPr>
          <w:rFonts w:eastAsia="MS Mincho"/>
          <w:b/>
          <w:sz w:val="24"/>
          <w:szCs w:val="24"/>
        </w:rPr>
      </w:pPr>
      <w:r>
        <w:rPr>
          <w:rFonts w:eastAsia="MS Mincho"/>
          <w:b/>
          <w:i w:val="0"/>
          <w:color w:val="auto"/>
          <w:sz w:val="24"/>
          <w:szCs w:val="24"/>
        </w:rPr>
        <w:t>Tablica 14:</w:t>
      </w:r>
      <w:r w:rsidR="001940DA" w:rsidRPr="00EC4B19">
        <w:rPr>
          <w:rFonts w:eastAsia="MS Mincho"/>
          <w:b/>
          <w:i w:val="0"/>
          <w:color w:val="auto"/>
          <w:sz w:val="24"/>
          <w:szCs w:val="24"/>
        </w:rPr>
        <w:t xml:space="preserve"> Manjak/višak proračuna opće države, nacionalna i ESA 2010 metodologija</w:t>
      </w:r>
    </w:p>
    <w:p w14:paraId="4BEE5EED" w14:textId="74EF8AD7" w:rsidR="00B60BB9" w:rsidRPr="00161718" w:rsidRDefault="00B60BB9" w:rsidP="00B60BB9">
      <w:pPr>
        <w:spacing w:line="276" w:lineRule="auto"/>
      </w:pPr>
      <w:r w:rsidRPr="00975541">
        <w:rPr>
          <w:noProof/>
        </w:rPr>
        <w:drawing>
          <wp:inline distT="0" distB="0" distL="0" distR="0" wp14:anchorId="6BF177CE" wp14:editId="13B07E72">
            <wp:extent cx="5753100" cy="257175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3100" cy="2571750"/>
                    </a:xfrm>
                    <a:prstGeom prst="rect">
                      <a:avLst/>
                    </a:prstGeom>
                    <a:noFill/>
                    <a:ln>
                      <a:noFill/>
                    </a:ln>
                  </pic:spPr>
                </pic:pic>
              </a:graphicData>
            </a:graphic>
          </wp:inline>
        </w:drawing>
      </w:r>
    </w:p>
    <w:p w14:paraId="5B45E5CB" w14:textId="3AF3B9D8" w:rsidR="001940DA" w:rsidRPr="00EC4B19" w:rsidRDefault="001940DA" w:rsidP="001940DA">
      <w:pPr>
        <w:spacing w:after="120" w:line="276" w:lineRule="auto"/>
        <w:rPr>
          <w:sz w:val="20"/>
          <w:szCs w:val="20"/>
        </w:rPr>
      </w:pPr>
      <w:r w:rsidRPr="00EC4B19">
        <w:rPr>
          <w:sz w:val="20"/>
          <w:szCs w:val="20"/>
        </w:rPr>
        <w:t>Izvor: Ministarstvo financija, Državni zavod za statistiku</w:t>
      </w:r>
      <w:r w:rsidRPr="00EC4B19">
        <w:rPr>
          <w:sz w:val="20"/>
          <w:szCs w:val="20"/>
        </w:rPr>
        <w:tab/>
      </w:r>
    </w:p>
    <w:p w14:paraId="238D8B7E" w14:textId="77777777" w:rsidR="001940DA" w:rsidRPr="00EC4B19" w:rsidRDefault="001940DA" w:rsidP="001940DA">
      <w:pPr>
        <w:spacing w:after="120" w:line="276" w:lineRule="auto"/>
        <w:rPr>
          <w:i/>
          <w:sz w:val="20"/>
          <w:szCs w:val="20"/>
        </w:rPr>
      </w:pPr>
      <w:r w:rsidRPr="00EC4B19">
        <w:rPr>
          <w:i/>
          <w:sz w:val="20"/>
          <w:szCs w:val="20"/>
        </w:rPr>
        <w:t>Napomena: Od 1. siječnja 2025. prema nacionalnoj metodologiji manjak/višak općeg proračuna uključuje priznavanje prihoda od EU pomoći na novčanoj osnovi odnosno isti se evidentiraju u razdoblju kada su refundirani iz proračuna EU ili kada se može napraviti prijeboj potraživanja za EU pomoći sa sredstvima unaprijed naplaćenog EU predujma. Prema ESA 2010 metodologiji prihodi od EU pomoći se evidentiraju prema načelu nastanka poslovnog događaja odnosno u trenutku kada su stvarni troškovi nastali pa time nemaju utjecaj na manjak/višak opće države.</w:t>
      </w:r>
    </w:p>
    <w:p w14:paraId="13B35832" w14:textId="2BD75FE3" w:rsidR="001940DA" w:rsidRPr="00EC4B19" w:rsidRDefault="001940DA" w:rsidP="001940DA">
      <w:pPr>
        <w:spacing w:line="276" w:lineRule="auto"/>
        <w:rPr>
          <w:sz w:val="16"/>
          <w:szCs w:val="16"/>
          <w:highlight w:val="yellow"/>
        </w:rPr>
      </w:pPr>
    </w:p>
    <w:p w14:paraId="7E49BFBD" w14:textId="77777777" w:rsidR="00B60BB9" w:rsidRPr="001A7923" w:rsidRDefault="00B60BB9" w:rsidP="00B60BB9">
      <w:pPr>
        <w:spacing w:after="120" w:line="276" w:lineRule="auto"/>
      </w:pPr>
      <w:r w:rsidRPr="001A7923">
        <w:t xml:space="preserve">Manjak/višak općeg proračuna iskazan prema nacionalnoj metodologiji računskog plana razlikuje se od manjka/viška proračuna opće države koji se iskazuje prema statističkoj metodologiji Europske unije (ESA 2010). Opća država je institucionalni sektor koji se u Republici Hrvatskoj s obzirom na Ustavom Republike Hrvatske utvrđeno ustrojstvo države </w:t>
      </w:r>
      <w:r w:rsidRPr="001A7923">
        <w:lastRenderedPageBreak/>
        <w:t xml:space="preserve">sastoji od </w:t>
      </w:r>
      <w:proofErr w:type="spellStart"/>
      <w:r w:rsidRPr="001A7923">
        <w:t>podsektora</w:t>
      </w:r>
      <w:proofErr w:type="spellEnd"/>
      <w:r w:rsidRPr="001A7923">
        <w:t xml:space="preserve"> središnje države, lokalne države i fondova socijalne sigurnosti. Drugim riječima, obuhvat sektora opće države prema metodologiji ESA 2010 obuhvaća državni proračun, jedinice lokalne i područne (regionalne) samouprave, izvanproračunske korisnike iz I. i II. skupine</w:t>
      </w:r>
      <w:r w:rsidRPr="001A7923">
        <w:rPr>
          <w:rStyle w:val="Referencafusnote"/>
        </w:rPr>
        <w:footnoteReference w:id="3"/>
      </w:r>
      <w:r w:rsidRPr="001A7923">
        <w:t xml:space="preserve"> te fondove socijalnog osiguranja. Osim toga, na manjak/višak sektora opće države i </w:t>
      </w:r>
      <w:r>
        <w:t>dug opće države</w:t>
      </w:r>
      <w:r w:rsidRPr="001A7923">
        <w:t xml:space="preserve"> utječu i određene specifičnosti utvrđene metodologijom ESA 2010, kao što su, primjerice, ugovorene obveze u okviru kojih je država na sebe preuzela rizike</w:t>
      </w:r>
      <w:r>
        <w:t xml:space="preserve"> ili pak primjena metode vremenskog prilagođavanja pojedinih poreznih oblika i socijalnih doprinosa, kao i evidentiranje prihoda od EU pomoći na način da ne povećavaju ili smanjuju manjak/višak opće države</w:t>
      </w:r>
      <w:r w:rsidRPr="001A7923">
        <w:t xml:space="preserve">. Za službeni izračun manjka/viška sektora opće države nadležan je Državni zavod za statistiku, a za izračun </w:t>
      </w:r>
      <w:r>
        <w:t>duga opće države</w:t>
      </w:r>
      <w:r w:rsidRPr="001A7923">
        <w:t xml:space="preserve"> Hrvatska narodna banka.</w:t>
      </w:r>
    </w:p>
    <w:p w14:paraId="6E4DAD8B" w14:textId="77777777" w:rsidR="00B60BB9" w:rsidRDefault="00B60BB9" w:rsidP="00B60BB9">
      <w:pPr>
        <w:spacing w:after="120" w:line="276" w:lineRule="auto"/>
      </w:pPr>
      <w:r w:rsidRPr="005A0595">
        <w:t>Prema Izvješću Državnog zavoda za statistiku o prekomjernom proračunskom manjku i razini duga opće države iz travnja 202</w:t>
      </w:r>
      <w:r>
        <w:t>6</w:t>
      </w:r>
      <w:r w:rsidRPr="005A0595">
        <w:t>., u 202</w:t>
      </w:r>
      <w:r>
        <w:t>5</w:t>
      </w:r>
      <w:r w:rsidRPr="005A0595">
        <w:t xml:space="preserve">. godini ostvaren je </w:t>
      </w:r>
      <w:r>
        <w:t>manjak</w:t>
      </w:r>
      <w:r w:rsidRPr="005A0595">
        <w:t xml:space="preserve"> proračuna opće države u iznosu od </w:t>
      </w:r>
      <w:r>
        <w:t>2,8</w:t>
      </w:r>
      <w:r w:rsidRPr="005A0595">
        <w:t xml:space="preserve"> </w:t>
      </w:r>
      <w:r>
        <w:t>milijardi eura</w:t>
      </w:r>
      <w:r w:rsidRPr="005A0595">
        <w:t xml:space="preserve"> ili </w:t>
      </w:r>
      <w:r>
        <w:t>3</w:t>
      </w:r>
      <w:r w:rsidRPr="005A0595">
        <w:t>% BDP-a</w:t>
      </w:r>
      <w:r>
        <w:t>. Prihodi proračuna opće države ostvareni su u iznosu od 43,8 milijardi eura ili na razini od 47,1% BDP-a. U strukturi poreznih prihoda najveći dio odnosi se na porez na proizvodnju i uvoz, pri čemu prihodi od poreza na dodanu vrijednost rastu 8,8</w:t>
      </w:r>
      <w:r w:rsidRPr="00572F62">
        <w:t>%. Tekući porezi</w:t>
      </w:r>
      <w:r w:rsidRPr="00BE6E6A">
        <w:t xml:space="preserve"> na dohodak i bogatstvo, koji </w:t>
      </w:r>
      <w:r>
        <w:t xml:space="preserve">u glavnini </w:t>
      </w:r>
      <w:r w:rsidRPr="00BE6E6A">
        <w:t xml:space="preserve">uključuju porez na dohodak i porez na dobit, rastu </w:t>
      </w:r>
      <w:r>
        <w:t>8,4%</w:t>
      </w:r>
      <w:r w:rsidRPr="00BE6E6A">
        <w:t xml:space="preserve"> uslijed kretanja na tržištu rada te rezultata poslovanja poduzeća i banaka u prethodnoj godini. </w:t>
      </w:r>
      <w:r w:rsidRPr="00812A0E">
        <w:t xml:space="preserve">Rast od </w:t>
      </w:r>
      <w:r>
        <w:t>15,4</w:t>
      </w:r>
      <w:r w:rsidRPr="00812A0E">
        <w:t xml:space="preserve">% bilježe i prihodi od socijalnih doprinosa </w:t>
      </w:r>
      <w:r>
        <w:t>temeljem</w:t>
      </w:r>
      <w:r w:rsidRPr="00812A0E">
        <w:t xml:space="preserve"> rasta plaća i zaposlenosti uslijed pojačane gospodarske aktivnosti.</w:t>
      </w:r>
      <w:r>
        <w:t xml:space="preserve"> Od neporeznih prihoda, najznačajniji su </w:t>
      </w:r>
      <w:r w:rsidRPr="009F4017">
        <w:t>prihodi od ostalih tekućih i kapitalnih transfera koji uklj</w:t>
      </w:r>
      <w:r>
        <w:t>učuju sredstva iz EU fondova</w:t>
      </w:r>
      <w:r w:rsidRPr="009F4017">
        <w:t xml:space="preserve">, </w:t>
      </w:r>
      <w:r>
        <w:t>kao i sredstva primljena</w:t>
      </w:r>
      <w:r w:rsidRPr="009F4017">
        <w:t xml:space="preserve"> </w:t>
      </w:r>
      <w:r>
        <w:t xml:space="preserve">iz </w:t>
      </w:r>
      <w:r w:rsidRPr="009F4017">
        <w:t>Mehanizma za oporavak i otpornost.</w:t>
      </w:r>
    </w:p>
    <w:p w14:paraId="35079F50" w14:textId="00FA053E" w:rsidR="00B60BB9" w:rsidRDefault="00B60BB9" w:rsidP="00B60BB9">
      <w:pPr>
        <w:spacing w:after="120" w:line="276" w:lineRule="auto"/>
      </w:pPr>
      <w:r>
        <w:t xml:space="preserve">Rashodi proračuna opće države izvršeni su u iznosu od 46,5 milijardi eura ili na razini od 50,1% BDP-a. Na njihovo nominalno povećanje u odnosu na prethodnu godinu značajno je utjecalo povećanje </w:t>
      </w:r>
      <w:r w:rsidRPr="00074C35">
        <w:t>socijalnih naknada u novcu sa socijalnim transferima u naturi</w:t>
      </w:r>
      <w:r>
        <w:t xml:space="preserve"> (12,4%), naknada zaposlenima (12,6%), bruto investicija u fiksni kapital (24,8%) te </w:t>
      </w:r>
      <w:proofErr w:type="spellStart"/>
      <w:r>
        <w:t>intermedijarne</w:t>
      </w:r>
      <w:proofErr w:type="spellEnd"/>
      <w:r>
        <w:t xml:space="preserve"> potrošnje (11,5%). </w:t>
      </w:r>
      <w:r w:rsidRPr="00B034DE">
        <w:t xml:space="preserve">Mjere koje su zbog povećanja cijena energenata uvedene u 2022. </w:t>
      </w:r>
      <w:r>
        <w:t>nastavljene su</w:t>
      </w:r>
      <w:r w:rsidRPr="00B034DE">
        <w:t xml:space="preserve"> i </w:t>
      </w:r>
      <w:r>
        <w:t>u narednim godinama, a tijekom</w:t>
      </w:r>
      <w:r w:rsidRPr="00B034DE">
        <w:t xml:space="preserve"> 202</w:t>
      </w:r>
      <w:r>
        <w:t xml:space="preserve">5. su </w:t>
      </w:r>
      <w:r w:rsidRPr="00B034DE">
        <w:t>uglavnom utje</w:t>
      </w:r>
      <w:r>
        <w:t>cale</w:t>
      </w:r>
      <w:r w:rsidRPr="00B034DE">
        <w:t xml:space="preserve"> na povećanje isplaćenih subvencija na proizvode</w:t>
      </w:r>
      <w:r>
        <w:t>,</w:t>
      </w:r>
      <w:r w:rsidRPr="00B034DE">
        <w:t xml:space="preserve"> </w:t>
      </w:r>
      <w:r>
        <w:t>kao i na</w:t>
      </w:r>
      <w:r w:rsidRPr="00B034DE">
        <w:t xml:space="preserve"> povećanje isplaćenih socijalnih naknada </w:t>
      </w:r>
      <w:r>
        <w:t>u naravi</w:t>
      </w:r>
      <w:r w:rsidRPr="00B034DE">
        <w:t>.</w:t>
      </w:r>
      <w:r>
        <w:t xml:space="preserve"> </w:t>
      </w:r>
    </w:p>
    <w:p w14:paraId="41CFD0C5" w14:textId="0077969C" w:rsidR="001940DA" w:rsidRPr="00EC4B19" w:rsidRDefault="00B60BB9" w:rsidP="00B60BB9">
      <w:pPr>
        <w:spacing w:after="120" w:line="276" w:lineRule="auto"/>
      </w:pPr>
      <w:r>
        <w:t xml:space="preserve">Promatrano prema </w:t>
      </w:r>
      <w:proofErr w:type="spellStart"/>
      <w:r>
        <w:t>podsektorima</w:t>
      </w:r>
      <w:proofErr w:type="spellEnd"/>
      <w:r>
        <w:t>, manjak su zabilježile s</w:t>
      </w:r>
      <w:r w:rsidRPr="008C01EE">
        <w:t xml:space="preserve">redišnja država od </w:t>
      </w:r>
      <w:r>
        <w:t>2,5</w:t>
      </w:r>
      <w:r w:rsidRPr="008C01EE">
        <w:t>% BDP-a</w:t>
      </w:r>
      <w:r>
        <w:t>, l</w:t>
      </w:r>
      <w:r w:rsidRPr="008C01EE">
        <w:t xml:space="preserve">okalna država </w:t>
      </w:r>
      <w:r>
        <w:t xml:space="preserve">od 0,4% BDP-a te </w:t>
      </w:r>
      <w:r w:rsidRPr="008C01EE">
        <w:t xml:space="preserve">fondovi socijalne sigurnosti </w:t>
      </w:r>
      <w:r>
        <w:t>od 0,1% BDP-a.</w:t>
      </w:r>
    </w:p>
    <w:p w14:paraId="5C88E810" w14:textId="77777777" w:rsidR="001940DA" w:rsidRPr="00EC4B19" w:rsidRDefault="001940DA" w:rsidP="001940DA">
      <w:pPr>
        <w:spacing w:line="276" w:lineRule="auto"/>
        <w:rPr>
          <w:sz w:val="16"/>
          <w:szCs w:val="16"/>
        </w:rPr>
      </w:pPr>
    </w:p>
    <w:p w14:paraId="43F6F5AC" w14:textId="77777777" w:rsidR="00B60BB9" w:rsidRPr="00264B5D" w:rsidRDefault="004B3B47" w:rsidP="00264B5D">
      <w:pPr>
        <w:pStyle w:val="Opisslike"/>
        <w:keepNext/>
        <w:spacing w:after="0"/>
        <w:rPr>
          <w:rFonts w:eastAsia="MS Mincho"/>
          <w:b/>
          <w:i w:val="0"/>
          <w:color w:val="auto"/>
          <w:sz w:val="24"/>
          <w:szCs w:val="24"/>
        </w:rPr>
      </w:pPr>
      <w:r>
        <w:rPr>
          <w:rFonts w:eastAsia="MS Mincho"/>
          <w:b/>
          <w:i w:val="0"/>
          <w:color w:val="auto"/>
          <w:sz w:val="24"/>
          <w:szCs w:val="24"/>
        </w:rPr>
        <w:lastRenderedPageBreak/>
        <w:t>Tablica 15:</w:t>
      </w:r>
      <w:r w:rsidR="001940DA" w:rsidRPr="004B3B47">
        <w:rPr>
          <w:rFonts w:eastAsia="MS Mincho"/>
          <w:b/>
          <w:i w:val="0"/>
          <w:color w:val="auto"/>
          <w:sz w:val="24"/>
          <w:szCs w:val="24"/>
        </w:rPr>
        <w:t xml:space="preserve"> Proračun opće države prema </w:t>
      </w:r>
      <w:proofErr w:type="spellStart"/>
      <w:r w:rsidR="001940DA" w:rsidRPr="004B3B47">
        <w:rPr>
          <w:rFonts w:eastAsia="MS Mincho"/>
          <w:b/>
          <w:i w:val="0"/>
          <w:color w:val="auto"/>
          <w:sz w:val="24"/>
          <w:szCs w:val="24"/>
        </w:rPr>
        <w:t>podsektorima</w:t>
      </w:r>
      <w:proofErr w:type="spellEnd"/>
      <w:r w:rsidR="001940DA" w:rsidRPr="004B3B47">
        <w:rPr>
          <w:rFonts w:eastAsia="MS Mincho"/>
          <w:b/>
          <w:i w:val="0"/>
          <w:color w:val="auto"/>
          <w:sz w:val="24"/>
          <w:szCs w:val="24"/>
        </w:rPr>
        <w:t>, ESA 2010 metodologija</w:t>
      </w:r>
    </w:p>
    <w:p w14:paraId="743BAC8F" w14:textId="2FB00D51" w:rsidR="00B60BB9" w:rsidRPr="003B0F3A" w:rsidRDefault="00264B5D" w:rsidP="00B60BB9">
      <w:pPr>
        <w:spacing w:line="276" w:lineRule="auto"/>
      </w:pPr>
      <w:r w:rsidRPr="00264B5D">
        <w:rPr>
          <w:noProof/>
        </w:rPr>
        <w:drawing>
          <wp:inline distT="0" distB="0" distL="0" distR="0" wp14:anchorId="10F61A5C" wp14:editId="52F6DA42">
            <wp:extent cx="5760720" cy="301013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3010135"/>
                    </a:xfrm>
                    <a:prstGeom prst="rect">
                      <a:avLst/>
                    </a:prstGeom>
                    <a:noFill/>
                    <a:ln>
                      <a:noFill/>
                    </a:ln>
                  </pic:spPr>
                </pic:pic>
              </a:graphicData>
            </a:graphic>
          </wp:inline>
        </w:drawing>
      </w:r>
    </w:p>
    <w:p w14:paraId="0F6474C3" w14:textId="436FF6C0" w:rsidR="001940DA" w:rsidRPr="00EC4B19" w:rsidRDefault="001940DA" w:rsidP="001940DA">
      <w:pPr>
        <w:spacing w:after="120" w:line="276" w:lineRule="auto"/>
        <w:rPr>
          <w:sz w:val="20"/>
          <w:szCs w:val="20"/>
        </w:rPr>
      </w:pPr>
      <w:r w:rsidRPr="00EC4B19">
        <w:rPr>
          <w:sz w:val="20"/>
          <w:szCs w:val="20"/>
        </w:rPr>
        <w:t>Izvor: Državni zavod za statistiku</w:t>
      </w:r>
      <w:r w:rsidR="00264B5D">
        <w:rPr>
          <w:sz w:val="20"/>
          <w:szCs w:val="20"/>
        </w:rPr>
        <w:t>, Ministarstvo financija</w:t>
      </w:r>
    </w:p>
    <w:p w14:paraId="1BE02872" w14:textId="77777777" w:rsidR="001940DA" w:rsidRPr="00EC4B19" w:rsidRDefault="001940DA" w:rsidP="001940DA">
      <w:pPr>
        <w:spacing w:after="120" w:line="276" w:lineRule="auto"/>
      </w:pPr>
    </w:p>
    <w:p w14:paraId="017C5B75" w14:textId="77777777" w:rsidR="001940DA" w:rsidRPr="00EC4B19" w:rsidRDefault="001940DA" w:rsidP="001940DA">
      <w:pPr>
        <w:spacing w:after="120" w:line="276" w:lineRule="auto"/>
        <w:rPr>
          <w:strike/>
        </w:rPr>
      </w:pPr>
      <w:r w:rsidRPr="00EC4B19">
        <w:t xml:space="preserve">Prema podacima HNB-a, udio javnog duga u BDP-u je krajem 2025. godine iznosio 56,3%, dok je njegova nominalna vrijednost iznosila 52,4 milijarde eura. U odnosu na kraj 2024. godine smanjenje udjela javnog duga u BDP-u iznosi 1,04 postotna boda, dok to smanjenje odnosu na </w:t>
      </w:r>
      <w:proofErr w:type="spellStart"/>
      <w:r w:rsidRPr="00EC4B19">
        <w:t>pretpandemijsku</w:t>
      </w:r>
      <w:proofErr w:type="spellEnd"/>
      <w:r w:rsidRPr="00EC4B19">
        <w:t xml:space="preserve"> 2019. iznosi čak 14,6 postotnih bodova. </w:t>
      </w:r>
    </w:p>
    <w:p w14:paraId="1ACD5A45" w14:textId="77777777" w:rsidR="001940DA" w:rsidRPr="00EC4B19" w:rsidRDefault="001940DA" w:rsidP="001940DA">
      <w:pPr>
        <w:spacing w:line="276" w:lineRule="auto"/>
      </w:pPr>
      <w:r w:rsidRPr="00EC4B19">
        <w:t>Nominalno povećanje javnog duga u 2025. u odnosu na 2024. godinu iznosi 3,1 milijardu eura, dok je manjak proračuna opće države iznosio 2,8 milijardi eura. Veće povećanje duga opće države u odnosu na manjak proizlazi iz povećanja depozita proizašlih iz zaduživanja ostvarenih tijekom 2025. godine, a koji će se koristili za financiranje manjka proračuna opće države u tekućoj godini.</w:t>
      </w:r>
    </w:p>
    <w:p w14:paraId="530CB679" w14:textId="77777777" w:rsidR="001940DA" w:rsidRPr="00EC4B19" w:rsidRDefault="001940DA" w:rsidP="001940DA">
      <w:pPr>
        <w:spacing w:line="276" w:lineRule="auto"/>
      </w:pPr>
    </w:p>
    <w:p w14:paraId="200087E4" w14:textId="301C24FF" w:rsidR="00B60BB9" w:rsidRPr="00A50C83" w:rsidRDefault="00755213" w:rsidP="0085670E">
      <w:pPr>
        <w:pStyle w:val="Opisslike"/>
        <w:keepNext/>
        <w:spacing w:after="0"/>
        <w:rPr>
          <w:rFonts w:eastAsia="MS Mincho"/>
          <w:b/>
          <w:i w:val="0"/>
          <w:sz w:val="24"/>
          <w:szCs w:val="24"/>
        </w:rPr>
      </w:pPr>
      <w:r>
        <w:rPr>
          <w:rFonts w:eastAsia="MS Mincho"/>
          <w:b/>
          <w:i w:val="0"/>
          <w:color w:val="auto"/>
          <w:sz w:val="24"/>
          <w:szCs w:val="24"/>
        </w:rPr>
        <w:t>Tablica 16:</w:t>
      </w:r>
      <w:r w:rsidR="001940DA" w:rsidRPr="00755213">
        <w:rPr>
          <w:rFonts w:eastAsia="MS Mincho"/>
          <w:b/>
          <w:i w:val="0"/>
          <w:color w:val="auto"/>
          <w:sz w:val="24"/>
          <w:szCs w:val="24"/>
        </w:rPr>
        <w:t xml:space="preserve"> Dug opće države prema </w:t>
      </w:r>
      <w:proofErr w:type="spellStart"/>
      <w:r w:rsidR="001940DA" w:rsidRPr="00755213">
        <w:rPr>
          <w:rFonts w:eastAsia="MS Mincho"/>
          <w:b/>
          <w:i w:val="0"/>
          <w:color w:val="auto"/>
          <w:sz w:val="24"/>
          <w:szCs w:val="24"/>
        </w:rPr>
        <w:t>podsektorima</w:t>
      </w:r>
      <w:proofErr w:type="spellEnd"/>
      <w:r w:rsidR="001940DA" w:rsidRPr="00755213">
        <w:rPr>
          <w:rFonts w:eastAsia="MS Mincho"/>
          <w:b/>
          <w:i w:val="0"/>
          <w:color w:val="auto"/>
          <w:sz w:val="24"/>
          <w:szCs w:val="24"/>
        </w:rPr>
        <w:t xml:space="preserve"> 2021. - 2025.</w:t>
      </w:r>
      <w:r w:rsidR="00B60BB9" w:rsidRPr="00B60BB9">
        <w:rPr>
          <w:rFonts w:eastAsia="MS Mincho"/>
          <w:b/>
        </w:rPr>
        <w:t xml:space="preserve"> </w:t>
      </w:r>
    </w:p>
    <w:p w14:paraId="491166C8" w14:textId="28AFA076" w:rsidR="00B60BB9" w:rsidRPr="00EC4B19" w:rsidRDefault="00B60BB9" w:rsidP="001940DA">
      <w:pPr>
        <w:spacing w:line="276" w:lineRule="auto"/>
      </w:pPr>
      <w:r w:rsidRPr="00876758">
        <w:rPr>
          <w:noProof/>
        </w:rPr>
        <w:drawing>
          <wp:inline distT="0" distB="0" distL="0" distR="0" wp14:anchorId="0FF408C1" wp14:editId="3D72604B">
            <wp:extent cx="5521211" cy="2583712"/>
            <wp:effectExtent l="0" t="0" r="3810" b="762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43149" cy="2593978"/>
                    </a:xfrm>
                    <a:prstGeom prst="rect">
                      <a:avLst/>
                    </a:prstGeom>
                    <a:noFill/>
                    <a:ln>
                      <a:noFill/>
                    </a:ln>
                  </pic:spPr>
                </pic:pic>
              </a:graphicData>
            </a:graphic>
          </wp:inline>
        </w:drawing>
      </w:r>
    </w:p>
    <w:p w14:paraId="675F100A" w14:textId="77777777" w:rsidR="001940DA" w:rsidRPr="00EC4B19" w:rsidRDefault="001940DA" w:rsidP="001940DA">
      <w:pPr>
        <w:spacing w:after="120" w:line="276" w:lineRule="auto"/>
        <w:rPr>
          <w:sz w:val="20"/>
          <w:szCs w:val="20"/>
        </w:rPr>
      </w:pPr>
      <w:r w:rsidRPr="00EC4B19">
        <w:rPr>
          <w:sz w:val="20"/>
          <w:szCs w:val="20"/>
        </w:rPr>
        <w:t>Izvor: Hrvatska narodna banka, Državni zavod za statistiku</w:t>
      </w:r>
    </w:p>
    <w:p w14:paraId="5D3DD599" w14:textId="77777777" w:rsidR="00B60BB9" w:rsidRPr="008C7316" w:rsidRDefault="00B60BB9" w:rsidP="00B60BB9">
      <w:pPr>
        <w:spacing w:before="240" w:line="276" w:lineRule="auto"/>
        <w:rPr>
          <w:rFonts w:eastAsia="Calibri"/>
          <w:lang w:eastAsia="en-US"/>
        </w:rPr>
      </w:pPr>
      <w:r w:rsidRPr="008C7316">
        <w:rPr>
          <w:rFonts w:eastAsia="Calibri"/>
          <w:lang w:eastAsia="en-US"/>
        </w:rPr>
        <w:lastRenderedPageBreak/>
        <w:t>Na kraju 202</w:t>
      </w:r>
      <w:r>
        <w:rPr>
          <w:rFonts w:eastAsia="Calibri"/>
          <w:lang w:eastAsia="en-US"/>
        </w:rPr>
        <w:t>5</w:t>
      </w:r>
      <w:r w:rsidRPr="008C7316">
        <w:rPr>
          <w:rFonts w:eastAsia="Calibri"/>
          <w:lang w:eastAsia="en-US"/>
        </w:rPr>
        <w:t>. godine unutarnji dug središnje države iznosio je 97</w:t>
      </w:r>
      <w:r>
        <w:rPr>
          <w:rFonts w:eastAsia="Calibri"/>
          <w:lang w:eastAsia="en-US"/>
        </w:rPr>
        <w:t xml:space="preserve">,4% </w:t>
      </w:r>
      <w:r w:rsidRPr="008C7316">
        <w:rPr>
          <w:rFonts w:eastAsia="Calibri"/>
          <w:lang w:eastAsia="en-US"/>
        </w:rPr>
        <w:t xml:space="preserve">unutarnjeg konsolidiranog duga opće države. </w:t>
      </w:r>
      <w:r>
        <w:rPr>
          <w:rFonts w:eastAsia="Calibri"/>
          <w:lang w:eastAsia="en-US"/>
        </w:rPr>
        <w:t>Ukupni u</w:t>
      </w:r>
      <w:r w:rsidRPr="008C7316">
        <w:rPr>
          <w:rFonts w:eastAsia="Calibri"/>
          <w:lang w:eastAsia="en-US"/>
        </w:rPr>
        <w:t>nutarnji dug HAC-a i HC-a iznosi 2,</w:t>
      </w:r>
      <w:r>
        <w:rPr>
          <w:rFonts w:eastAsia="Calibri"/>
          <w:lang w:eastAsia="en-US"/>
        </w:rPr>
        <w:t xml:space="preserve">6 </w:t>
      </w:r>
      <w:r w:rsidRPr="008C7316">
        <w:rPr>
          <w:rFonts w:eastAsia="Calibri"/>
          <w:lang w:eastAsia="en-US"/>
        </w:rPr>
        <w:t>milijard</w:t>
      </w:r>
      <w:r>
        <w:rPr>
          <w:rFonts w:eastAsia="Calibri"/>
          <w:lang w:eastAsia="en-US"/>
        </w:rPr>
        <w:t>i eura</w:t>
      </w:r>
      <w:r w:rsidRPr="008C7316">
        <w:rPr>
          <w:rFonts w:eastAsia="Calibri"/>
          <w:lang w:eastAsia="en-US"/>
        </w:rPr>
        <w:t xml:space="preserve"> ili 7,</w:t>
      </w:r>
      <w:r>
        <w:rPr>
          <w:rFonts w:eastAsia="Calibri"/>
          <w:lang w:eastAsia="en-US"/>
        </w:rPr>
        <w:t>2%</w:t>
      </w:r>
      <w:r w:rsidRPr="008C7316">
        <w:rPr>
          <w:rFonts w:eastAsia="Calibri"/>
          <w:lang w:eastAsia="en-US"/>
        </w:rPr>
        <w:t xml:space="preserve"> unutarnjeg duga središnje države. </w:t>
      </w:r>
      <w:r>
        <w:rPr>
          <w:rFonts w:eastAsia="Calibri"/>
          <w:lang w:eastAsia="en-US"/>
        </w:rPr>
        <w:t xml:space="preserve">Najveći dio cestarskog sektora </w:t>
      </w:r>
      <w:r w:rsidRPr="008C7316">
        <w:rPr>
          <w:rFonts w:eastAsia="Calibri"/>
          <w:lang w:eastAsia="en-US"/>
        </w:rPr>
        <w:t>odnosi se na dug HAC-a</w:t>
      </w:r>
      <w:r>
        <w:rPr>
          <w:rFonts w:eastAsia="Calibri"/>
          <w:lang w:eastAsia="en-US"/>
        </w:rPr>
        <w:t>, koji je u</w:t>
      </w:r>
      <w:r w:rsidRPr="008C7316">
        <w:rPr>
          <w:rFonts w:eastAsia="Calibri"/>
          <w:lang w:eastAsia="en-US"/>
        </w:rPr>
        <w:t xml:space="preserve"> odnosu na kraj 202</w:t>
      </w:r>
      <w:r>
        <w:rPr>
          <w:rFonts w:eastAsia="Calibri"/>
          <w:lang w:eastAsia="en-US"/>
        </w:rPr>
        <w:t>4</w:t>
      </w:r>
      <w:r w:rsidRPr="008C7316">
        <w:rPr>
          <w:rFonts w:eastAsia="Calibri"/>
          <w:lang w:eastAsia="en-US"/>
        </w:rPr>
        <w:t xml:space="preserve">. godine </w:t>
      </w:r>
      <w:r>
        <w:rPr>
          <w:rFonts w:eastAsia="Calibri"/>
          <w:lang w:eastAsia="en-US"/>
        </w:rPr>
        <w:t>manji</w:t>
      </w:r>
      <w:r w:rsidRPr="008C7316">
        <w:rPr>
          <w:rFonts w:eastAsia="Calibri"/>
          <w:lang w:eastAsia="en-US"/>
        </w:rPr>
        <w:t xml:space="preserve"> za </w:t>
      </w:r>
      <w:r>
        <w:rPr>
          <w:rFonts w:eastAsia="Calibri"/>
          <w:lang w:eastAsia="en-US"/>
        </w:rPr>
        <w:t>26</w:t>
      </w:r>
      <w:r w:rsidRPr="008C7316">
        <w:rPr>
          <w:rFonts w:eastAsia="Calibri"/>
          <w:lang w:eastAsia="en-US"/>
        </w:rPr>
        <w:t xml:space="preserve"> milijuna eura. Unutarnji dug HŽ Infrastrukture, HŽ Putničkog prijevoza i HŽ </w:t>
      </w:r>
      <w:proofErr w:type="spellStart"/>
      <w:r w:rsidRPr="008C7316">
        <w:rPr>
          <w:rFonts w:eastAsia="Calibri"/>
          <w:lang w:eastAsia="en-US"/>
        </w:rPr>
        <w:t>Carga</w:t>
      </w:r>
      <w:proofErr w:type="spellEnd"/>
      <w:r w:rsidRPr="008C7316">
        <w:rPr>
          <w:rFonts w:eastAsia="Calibri"/>
          <w:lang w:eastAsia="en-US"/>
        </w:rPr>
        <w:t xml:space="preserve"> iznosi </w:t>
      </w:r>
      <w:r>
        <w:rPr>
          <w:rFonts w:eastAsia="Calibri"/>
          <w:lang w:eastAsia="en-US"/>
        </w:rPr>
        <w:t>46</w:t>
      </w:r>
      <w:r w:rsidRPr="008C7316">
        <w:rPr>
          <w:rFonts w:eastAsia="Calibri"/>
          <w:lang w:eastAsia="en-US"/>
        </w:rPr>
        <w:t xml:space="preserve"> milijuna eura ili 0,</w:t>
      </w:r>
      <w:r>
        <w:rPr>
          <w:rFonts w:eastAsia="Calibri"/>
          <w:lang w:eastAsia="en-US"/>
        </w:rPr>
        <w:t>13</w:t>
      </w:r>
      <w:r w:rsidRPr="008C7316">
        <w:rPr>
          <w:rFonts w:eastAsia="Calibri"/>
          <w:lang w:eastAsia="en-US"/>
        </w:rPr>
        <w:t>% unutarnjeg duga središnje države te je u odnosu na 202</w:t>
      </w:r>
      <w:r>
        <w:rPr>
          <w:rFonts w:eastAsia="Calibri"/>
          <w:lang w:eastAsia="en-US"/>
        </w:rPr>
        <w:t>4</w:t>
      </w:r>
      <w:r w:rsidRPr="008C7316">
        <w:rPr>
          <w:rFonts w:eastAsia="Calibri"/>
          <w:lang w:eastAsia="en-US"/>
        </w:rPr>
        <w:t xml:space="preserve">. godinu manji za </w:t>
      </w:r>
      <w:r>
        <w:rPr>
          <w:rFonts w:eastAsia="Calibri"/>
          <w:lang w:eastAsia="en-US"/>
        </w:rPr>
        <w:t>90</w:t>
      </w:r>
      <w:r w:rsidRPr="008C7316">
        <w:rPr>
          <w:rFonts w:eastAsia="Calibri"/>
          <w:lang w:eastAsia="en-US"/>
        </w:rPr>
        <w:t xml:space="preserve"> milijuna eura. </w:t>
      </w:r>
    </w:p>
    <w:p w14:paraId="283823DA" w14:textId="77777777" w:rsidR="00B60BB9" w:rsidRPr="008C7316" w:rsidRDefault="00B60BB9" w:rsidP="00B60BB9">
      <w:pPr>
        <w:spacing w:before="240" w:line="276" w:lineRule="auto"/>
        <w:rPr>
          <w:rFonts w:eastAsia="Calibri"/>
          <w:lang w:eastAsia="en-US"/>
        </w:rPr>
      </w:pPr>
      <w:r w:rsidRPr="008C7316">
        <w:rPr>
          <w:rFonts w:eastAsia="Calibri"/>
          <w:lang w:eastAsia="en-US"/>
        </w:rPr>
        <w:t xml:space="preserve">Unutarnji dug proizašao iz javno privatnog partnerstva i koncesija zauzima </w:t>
      </w:r>
      <w:r>
        <w:rPr>
          <w:rFonts w:eastAsia="Calibri"/>
          <w:lang w:eastAsia="en-US"/>
        </w:rPr>
        <w:t>1,96</w:t>
      </w:r>
      <w:r w:rsidRPr="008C7316">
        <w:rPr>
          <w:rFonts w:eastAsia="Calibri"/>
          <w:lang w:eastAsia="en-US"/>
        </w:rPr>
        <w:t xml:space="preserve">% unutarnjeg duga središnje države te iznosi </w:t>
      </w:r>
      <w:r>
        <w:rPr>
          <w:rFonts w:eastAsia="Calibri"/>
          <w:lang w:eastAsia="en-US"/>
        </w:rPr>
        <w:t xml:space="preserve">706 </w:t>
      </w:r>
      <w:r w:rsidRPr="008C7316">
        <w:rPr>
          <w:rFonts w:eastAsia="Calibri"/>
          <w:lang w:eastAsia="en-US"/>
        </w:rPr>
        <w:t xml:space="preserve">milijuna eura. </w:t>
      </w:r>
      <w:r>
        <w:rPr>
          <w:rFonts w:eastAsia="Calibri"/>
          <w:lang w:eastAsia="en-US"/>
        </w:rPr>
        <w:t>94</w:t>
      </w:r>
      <w:r w:rsidRPr="008C7316">
        <w:rPr>
          <w:rFonts w:eastAsia="Calibri"/>
          <w:lang w:eastAsia="en-US"/>
        </w:rPr>
        <w:t>% navedenog duga odnosi se na BINU ISTRU, a preostali dio na dug Međunarodne zračne luke Zagreb.</w:t>
      </w:r>
    </w:p>
    <w:p w14:paraId="0CC430CC" w14:textId="77777777" w:rsidR="00B60BB9" w:rsidRPr="008C7316" w:rsidRDefault="00B60BB9" w:rsidP="00B60BB9">
      <w:pPr>
        <w:spacing w:before="240" w:line="276" w:lineRule="auto"/>
        <w:rPr>
          <w:rFonts w:eastAsia="Calibri"/>
          <w:lang w:eastAsia="en-US"/>
        </w:rPr>
      </w:pPr>
      <w:r w:rsidRPr="008C7316">
        <w:rPr>
          <w:rFonts w:eastAsia="Calibri"/>
          <w:lang w:eastAsia="en-US"/>
        </w:rPr>
        <w:t xml:space="preserve">Unutarnji dug fondova socijalne sigurnosti iznosi svega </w:t>
      </w:r>
      <w:r>
        <w:rPr>
          <w:rFonts w:eastAsia="Calibri"/>
          <w:lang w:eastAsia="en-US"/>
        </w:rPr>
        <w:t>3</w:t>
      </w:r>
      <w:r w:rsidRPr="008C7316">
        <w:rPr>
          <w:rFonts w:eastAsia="Calibri"/>
          <w:lang w:eastAsia="en-US"/>
        </w:rPr>
        <w:t xml:space="preserve"> milijuna eura, dok lokalne države iznosi </w:t>
      </w:r>
      <w:r>
        <w:rPr>
          <w:rFonts w:eastAsia="Calibri"/>
          <w:lang w:eastAsia="en-US"/>
        </w:rPr>
        <w:t>970</w:t>
      </w:r>
      <w:r w:rsidRPr="008C7316">
        <w:rPr>
          <w:rFonts w:eastAsia="Calibri"/>
          <w:lang w:eastAsia="en-US"/>
        </w:rPr>
        <w:t xml:space="preserve"> mil</w:t>
      </w:r>
      <w:r>
        <w:rPr>
          <w:rFonts w:eastAsia="Calibri"/>
          <w:lang w:eastAsia="en-US"/>
        </w:rPr>
        <w:t xml:space="preserve">ijuna </w:t>
      </w:r>
      <w:r w:rsidRPr="008C7316">
        <w:rPr>
          <w:rFonts w:eastAsia="Calibri"/>
          <w:lang w:eastAsia="en-US"/>
        </w:rPr>
        <w:t xml:space="preserve">eura ili </w:t>
      </w:r>
      <w:r>
        <w:rPr>
          <w:rFonts w:eastAsia="Calibri"/>
          <w:lang w:eastAsia="en-US"/>
        </w:rPr>
        <w:t>2,6</w:t>
      </w:r>
      <w:r w:rsidRPr="008C7316">
        <w:rPr>
          <w:rFonts w:eastAsia="Calibri"/>
          <w:lang w:eastAsia="en-US"/>
        </w:rPr>
        <w:t>% unutarnjeg konsolidiranog duga opće države. U odnosu na 202</w:t>
      </w:r>
      <w:r>
        <w:rPr>
          <w:rFonts w:eastAsia="Calibri"/>
          <w:lang w:eastAsia="en-US"/>
        </w:rPr>
        <w:t>4</w:t>
      </w:r>
      <w:r w:rsidRPr="008C7316">
        <w:rPr>
          <w:rFonts w:eastAsia="Calibri"/>
          <w:lang w:eastAsia="en-US"/>
        </w:rPr>
        <w:t xml:space="preserve">. godinu </w:t>
      </w:r>
      <w:r>
        <w:rPr>
          <w:rFonts w:eastAsia="Calibri"/>
          <w:lang w:eastAsia="en-US"/>
        </w:rPr>
        <w:t>isti</w:t>
      </w:r>
      <w:r w:rsidRPr="008C7316">
        <w:rPr>
          <w:rFonts w:eastAsia="Calibri"/>
          <w:lang w:eastAsia="en-US"/>
        </w:rPr>
        <w:t xml:space="preserve"> je </w:t>
      </w:r>
      <w:r>
        <w:rPr>
          <w:rFonts w:eastAsia="Calibri"/>
          <w:lang w:eastAsia="en-US"/>
        </w:rPr>
        <w:t>povećan</w:t>
      </w:r>
      <w:r w:rsidRPr="008C7316">
        <w:rPr>
          <w:rFonts w:eastAsia="Calibri"/>
          <w:lang w:eastAsia="en-US"/>
        </w:rPr>
        <w:t xml:space="preserve"> za </w:t>
      </w:r>
      <w:r>
        <w:rPr>
          <w:rFonts w:eastAsia="Calibri"/>
          <w:lang w:eastAsia="en-US"/>
        </w:rPr>
        <w:t>96</w:t>
      </w:r>
      <w:r w:rsidRPr="008C7316">
        <w:rPr>
          <w:rFonts w:eastAsia="Calibri"/>
          <w:lang w:eastAsia="en-US"/>
        </w:rPr>
        <w:t xml:space="preserve"> milijuna eura.</w:t>
      </w:r>
    </w:p>
    <w:p w14:paraId="5D90CA57" w14:textId="77777777" w:rsidR="00B60BB9" w:rsidRPr="008C7316" w:rsidRDefault="00B60BB9" w:rsidP="00B60BB9">
      <w:pPr>
        <w:spacing w:before="240" w:line="276" w:lineRule="auto"/>
        <w:rPr>
          <w:rFonts w:eastAsia="Calibri"/>
          <w:lang w:eastAsia="en-US"/>
        </w:rPr>
      </w:pPr>
      <w:r>
        <w:rPr>
          <w:rFonts w:eastAsia="Calibri"/>
          <w:lang w:eastAsia="en-US"/>
        </w:rPr>
        <w:t>I</w:t>
      </w:r>
      <w:r w:rsidRPr="008C7316">
        <w:rPr>
          <w:rFonts w:eastAsia="Calibri"/>
          <w:lang w:eastAsia="en-US"/>
        </w:rPr>
        <w:t>nozemni konsolidirani dug opće države na kraju 202</w:t>
      </w:r>
      <w:r>
        <w:rPr>
          <w:rFonts w:eastAsia="Calibri"/>
          <w:lang w:eastAsia="en-US"/>
        </w:rPr>
        <w:t>5</w:t>
      </w:r>
      <w:r w:rsidRPr="008C7316">
        <w:rPr>
          <w:rFonts w:eastAsia="Calibri"/>
          <w:lang w:eastAsia="en-US"/>
        </w:rPr>
        <w:t xml:space="preserve">. godine </w:t>
      </w:r>
      <w:r>
        <w:rPr>
          <w:rFonts w:eastAsia="Calibri"/>
          <w:lang w:eastAsia="en-US"/>
        </w:rPr>
        <w:t>u glavnini se odnosi</w:t>
      </w:r>
      <w:r w:rsidRPr="008C7316">
        <w:rPr>
          <w:rFonts w:eastAsia="Calibri"/>
          <w:lang w:eastAsia="en-US"/>
        </w:rPr>
        <w:t xml:space="preserve"> na dug središnje države (99,</w:t>
      </w:r>
      <w:r>
        <w:rPr>
          <w:rFonts w:eastAsia="Calibri"/>
          <w:lang w:eastAsia="en-US"/>
        </w:rPr>
        <w:t>4%). Ukupni</w:t>
      </w:r>
      <w:r w:rsidRPr="008C7316">
        <w:rPr>
          <w:rFonts w:eastAsia="Calibri"/>
          <w:lang w:eastAsia="en-US"/>
        </w:rPr>
        <w:t xml:space="preserve"> inozemni dug HAC-a i HC-a iznosi </w:t>
      </w:r>
      <w:r>
        <w:rPr>
          <w:rFonts w:eastAsia="Calibri"/>
          <w:lang w:eastAsia="en-US"/>
        </w:rPr>
        <w:t>330</w:t>
      </w:r>
      <w:r w:rsidRPr="008C7316">
        <w:rPr>
          <w:rFonts w:eastAsia="Calibri"/>
          <w:lang w:eastAsia="en-US"/>
        </w:rPr>
        <w:t xml:space="preserve"> milijuna eura ili </w:t>
      </w:r>
      <w:r>
        <w:rPr>
          <w:rFonts w:eastAsia="Calibri"/>
          <w:lang w:eastAsia="en-US"/>
        </w:rPr>
        <w:t xml:space="preserve">2,2% </w:t>
      </w:r>
      <w:r w:rsidRPr="008C7316">
        <w:rPr>
          <w:rFonts w:eastAsia="Calibri"/>
          <w:lang w:eastAsia="en-US"/>
        </w:rPr>
        <w:t>inozemnog duga središnje države. U odnosu na 202</w:t>
      </w:r>
      <w:r>
        <w:rPr>
          <w:rFonts w:eastAsia="Calibri"/>
          <w:lang w:eastAsia="en-US"/>
        </w:rPr>
        <w:t>4</w:t>
      </w:r>
      <w:r w:rsidRPr="008C7316">
        <w:rPr>
          <w:rFonts w:eastAsia="Calibri"/>
          <w:lang w:eastAsia="en-US"/>
        </w:rPr>
        <w:t xml:space="preserve">. godinu inozemni dug cestara se smanjio za </w:t>
      </w:r>
      <w:r>
        <w:rPr>
          <w:rFonts w:eastAsia="Calibri"/>
          <w:lang w:eastAsia="en-US"/>
        </w:rPr>
        <w:t>53</w:t>
      </w:r>
      <w:r w:rsidRPr="008C7316">
        <w:rPr>
          <w:rFonts w:eastAsia="Calibri"/>
          <w:lang w:eastAsia="en-US"/>
        </w:rPr>
        <w:t xml:space="preserve"> milijuna eura. Inozemni dug HŽ Infrastrukture, HŽ Putničkog prijevoza i HŽ </w:t>
      </w:r>
      <w:proofErr w:type="spellStart"/>
      <w:r w:rsidRPr="008C7316">
        <w:rPr>
          <w:rFonts w:eastAsia="Calibri"/>
          <w:lang w:eastAsia="en-US"/>
        </w:rPr>
        <w:t>Carga</w:t>
      </w:r>
      <w:proofErr w:type="spellEnd"/>
      <w:r w:rsidRPr="008C7316">
        <w:rPr>
          <w:rFonts w:eastAsia="Calibri"/>
          <w:lang w:eastAsia="en-US"/>
        </w:rPr>
        <w:t xml:space="preserve"> iznosi </w:t>
      </w:r>
      <w:r>
        <w:rPr>
          <w:rFonts w:eastAsia="Calibri"/>
          <w:lang w:eastAsia="en-US"/>
        </w:rPr>
        <w:t>129</w:t>
      </w:r>
      <w:r w:rsidRPr="008C7316">
        <w:rPr>
          <w:rFonts w:eastAsia="Calibri"/>
          <w:lang w:eastAsia="en-US"/>
        </w:rPr>
        <w:t xml:space="preserve"> milijuna eura ili 0,</w:t>
      </w:r>
      <w:r>
        <w:rPr>
          <w:rFonts w:eastAsia="Calibri"/>
          <w:lang w:eastAsia="en-US"/>
        </w:rPr>
        <w:t>8</w:t>
      </w:r>
      <w:r w:rsidRPr="008C7316">
        <w:rPr>
          <w:rFonts w:eastAsia="Calibri"/>
          <w:lang w:eastAsia="en-US"/>
        </w:rPr>
        <w:t>% inozemnog duga središnje države. U odnosu na 202</w:t>
      </w:r>
      <w:r>
        <w:rPr>
          <w:rFonts w:eastAsia="Calibri"/>
          <w:lang w:eastAsia="en-US"/>
        </w:rPr>
        <w:t>4</w:t>
      </w:r>
      <w:r w:rsidRPr="008C7316">
        <w:rPr>
          <w:rFonts w:eastAsia="Calibri"/>
          <w:lang w:eastAsia="en-US"/>
        </w:rPr>
        <w:t xml:space="preserve">. godinu navedeni dug se </w:t>
      </w:r>
      <w:r>
        <w:rPr>
          <w:rFonts w:eastAsia="Calibri"/>
          <w:lang w:eastAsia="en-US"/>
        </w:rPr>
        <w:t>povećao</w:t>
      </w:r>
      <w:r w:rsidRPr="008C7316">
        <w:rPr>
          <w:rFonts w:eastAsia="Calibri"/>
          <w:lang w:eastAsia="en-US"/>
        </w:rPr>
        <w:t xml:space="preserve"> za </w:t>
      </w:r>
      <w:r>
        <w:rPr>
          <w:rFonts w:eastAsia="Calibri"/>
          <w:lang w:eastAsia="en-US"/>
        </w:rPr>
        <w:t>19</w:t>
      </w:r>
      <w:r w:rsidRPr="008C7316">
        <w:rPr>
          <w:rFonts w:eastAsia="Calibri"/>
          <w:lang w:eastAsia="en-US"/>
        </w:rPr>
        <w:t xml:space="preserve"> milijuna eura.</w:t>
      </w:r>
    </w:p>
    <w:p w14:paraId="16AF4958" w14:textId="77777777" w:rsidR="00B60BB9" w:rsidRPr="008C7316" w:rsidRDefault="00B60BB9" w:rsidP="00B60BB9">
      <w:pPr>
        <w:spacing w:before="240" w:line="276" w:lineRule="auto"/>
        <w:rPr>
          <w:rFonts w:eastAsia="Calibri"/>
          <w:lang w:eastAsia="en-US"/>
        </w:rPr>
      </w:pPr>
      <w:r w:rsidRPr="008C7316">
        <w:rPr>
          <w:rFonts w:eastAsia="Calibri"/>
          <w:lang w:eastAsia="en-US"/>
        </w:rPr>
        <w:t>Inozemni dug HBOR-a iznosi 1,</w:t>
      </w:r>
      <w:r>
        <w:rPr>
          <w:rFonts w:eastAsia="Calibri"/>
          <w:lang w:eastAsia="en-US"/>
        </w:rPr>
        <w:t>7</w:t>
      </w:r>
      <w:r w:rsidRPr="008C7316">
        <w:rPr>
          <w:rFonts w:eastAsia="Calibri"/>
          <w:lang w:eastAsia="en-US"/>
        </w:rPr>
        <w:t xml:space="preserve"> milijard</w:t>
      </w:r>
      <w:r>
        <w:rPr>
          <w:rFonts w:eastAsia="Calibri"/>
          <w:lang w:eastAsia="en-US"/>
        </w:rPr>
        <w:t>i</w:t>
      </w:r>
      <w:r w:rsidRPr="008C7316">
        <w:rPr>
          <w:rFonts w:eastAsia="Calibri"/>
          <w:lang w:eastAsia="en-US"/>
        </w:rPr>
        <w:t xml:space="preserve"> eura te </w:t>
      </w:r>
      <w:r>
        <w:rPr>
          <w:rFonts w:eastAsia="Calibri"/>
          <w:lang w:eastAsia="en-US"/>
        </w:rPr>
        <w:t xml:space="preserve">se </w:t>
      </w:r>
      <w:r w:rsidRPr="008C7316">
        <w:rPr>
          <w:rFonts w:eastAsia="Calibri"/>
          <w:lang w:eastAsia="en-US"/>
        </w:rPr>
        <w:t xml:space="preserve">na njega </w:t>
      </w:r>
      <w:r>
        <w:rPr>
          <w:rFonts w:eastAsia="Calibri"/>
          <w:lang w:eastAsia="en-US"/>
        </w:rPr>
        <w:t>odnosi</w:t>
      </w:r>
      <w:r w:rsidRPr="008C7316">
        <w:rPr>
          <w:rFonts w:eastAsia="Calibri"/>
          <w:lang w:eastAsia="en-US"/>
        </w:rPr>
        <w:t xml:space="preserve"> </w:t>
      </w:r>
      <w:r>
        <w:rPr>
          <w:rFonts w:eastAsia="Calibri"/>
          <w:lang w:eastAsia="en-US"/>
        </w:rPr>
        <w:t>11,1</w:t>
      </w:r>
      <w:r w:rsidRPr="008C7316">
        <w:rPr>
          <w:rFonts w:eastAsia="Calibri"/>
          <w:lang w:eastAsia="en-US"/>
        </w:rPr>
        <w:t>% inozemnog duga sr</w:t>
      </w:r>
      <w:r>
        <w:rPr>
          <w:rFonts w:eastAsia="Calibri"/>
          <w:lang w:eastAsia="en-US"/>
        </w:rPr>
        <w:t>edišnje države. Dug HBOR-a se tije</w:t>
      </w:r>
      <w:r w:rsidRPr="008C7316">
        <w:rPr>
          <w:rFonts w:eastAsia="Calibri"/>
          <w:lang w:eastAsia="en-US"/>
        </w:rPr>
        <w:t>kom 202</w:t>
      </w:r>
      <w:r>
        <w:rPr>
          <w:rFonts w:eastAsia="Calibri"/>
          <w:lang w:eastAsia="en-US"/>
        </w:rPr>
        <w:t>5</w:t>
      </w:r>
      <w:r w:rsidRPr="008C7316">
        <w:rPr>
          <w:rFonts w:eastAsia="Calibri"/>
          <w:lang w:eastAsia="en-US"/>
        </w:rPr>
        <w:t xml:space="preserve">. smanjio za </w:t>
      </w:r>
      <w:r>
        <w:rPr>
          <w:rFonts w:eastAsia="Calibri"/>
          <w:lang w:eastAsia="en-US"/>
        </w:rPr>
        <w:t>130</w:t>
      </w:r>
      <w:r w:rsidRPr="008C7316">
        <w:rPr>
          <w:rFonts w:eastAsia="Calibri"/>
          <w:lang w:eastAsia="en-US"/>
        </w:rPr>
        <w:t xml:space="preserve"> milijuna eura u odnosu na 202</w:t>
      </w:r>
      <w:r>
        <w:rPr>
          <w:rFonts w:eastAsia="Calibri"/>
          <w:lang w:eastAsia="en-US"/>
        </w:rPr>
        <w:t>4</w:t>
      </w:r>
      <w:r w:rsidRPr="008C7316">
        <w:rPr>
          <w:rFonts w:eastAsia="Calibri"/>
          <w:lang w:eastAsia="en-US"/>
        </w:rPr>
        <w:t xml:space="preserve">. godinu. </w:t>
      </w:r>
    </w:p>
    <w:p w14:paraId="5D9D715C" w14:textId="77777777" w:rsidR="00B60BB9" w:rsidRPr="008C7316" w:rsidRDefault="00B60BB9" w:rsidP="00B60BB9">
      <w:pPr>
        <w:spacing w:before="240" w:line="276" w:lineRule="auto"/>
        <w:rPr>
          <w:rFonts w:eastAsia="Calibri"/>
          <w:lang w:eastAsia="en-US"/>
        </w:rPr>
      </w:pPr>
      <w:r w:rsidRPr="008C7316">
        <w:rPr>
          <w:rFonts w:eastAsia="Calibri"/>
          <w:lang w:eastAsia="en-US"/>
        </w:rPr>
        <w:t xml:space="preserve">Na inozemni dug lučkih uprava </w:t>
      </w:r>
      <w:r>
        <w:rPr>
          <w:rFonts w:eastAsia="Calibri"/>
          <w:lang w:eastAsia="en-US"/>
        </w:rPr>
        <w:t>odnosi se</w:t>
      </w:r>
      <w:r w:rsidRPr="008C7316">
        <w:rPr>
          <w:rFonts w:eastAsia="Calibri"/>
          <w:lang w:eastAsia="en-US"/>
        </w:rPr>
        <w:t xml:space="preserve"> </w:t>
      </w:r>
      <w:r>
        <w:rPr>
          <w:rFonts w:eastAsia="Calibri"/>
          <w:lang w:eastAsia="en-US"/>
        </w:rPr>
        <w:t>0,9</w:t>
      </w:r>
      <w:r w:rsidRPr="008C7316">
        <w:rPr>
          <w:rFonts w:eastAsia="Calibri"/>
          <w:lang w:eastAsia="en-US"/>
        </w:rPr>
        <w:t>% inozemnog duga središnje države te na kraju 202</w:t>
      </w:r>
      <w:r>
        <w:rPr>
          <w:rFonts w:eastAsia="Calibri"/>
          <w:lang w:eastAsia="en-US"/>
        </w:rPr>
        <w:t>5</w:t>
      </w:r>
      <w:r w:rsidRPr="008C7316">
        <w:rPr>
          <w:rFonts w:eastAsia="Calibri"/>
          <w:lang w:eastAsia="en-US"/>
        </w:rPr>
        <w:t xml:space="preserve">. godine iznosi </w:t>
      </w:r>
      <w:r>
        <w:rPr>
          <w:rFonts w:eastAsia="Calibri"/>
          <w:lang w:eastAsia="en-US"/>
        </w:rPr>
        <w:t>137</w:t>
      </w:r>
      <w:r w:rsidRPr="008C7316">
        <w:rPr>
          <w:rFonts w:eastAsia="Calibri"/>
          <w:lang w:eastAsia="en-US"/>
        </w:rPr>
        <w:t xml:space="preserve"> milijuna eura.</w:t>
      </w:r>
    </w:p>
    <w:p w14:paraId="7C12BFB1" w14:textId="345155E3" w:rsidR="00B60BB9" w:rsidRPr="008C7316" w:rsidRDefault="00B60BB9" w:rsidP="00B60BB9">
      <w:pPr>
        <w:spacing w:before="240" w:line="276" w:lineRule="auto"/>
        <w:rPr>
          <w:rFonts w:eastAsia="Calibri"/>
          <w:lang w:eastAsia="en-US"/>
        </w:rPr>
      </w:pPr>
      <w:r w:rsidRPr="008C7316">
        <w:rPr>
          <w:rFonts w:eastAsia="Calibri"/>
          <w:lang w:eastAsia="en-US"/>
        </w:rPr>
        <w:t>Inozemni dug proizašao iz javno privatnog partnerstva i koncesija zauzima 2,</w:t>
      </w:r>
      <w:r>
        <w:rPr>
          <w:rFonts w:eastAsia="Calibri"/>
          <w:lang w:eastAsia="en-US"/>
        </w:rPr>
        <w:t>5</w:t>
      </w:r>
      <w:r w:rsidRPr="008C7316">
        <w:rPr>
          <w:rFonts w:eastAsia="Calibri"/>
          <w:lang w:eastAsia="en-US"/>
        </w:rPr>
        <w:t xml:space="preserve">% inozemnog duga središnje države te iznosi </w:t>
      </w:r>
      <w:r>
        <w:rPr>
          <w:rFonts w:eastAsia="Calibri"/>
          <w:lang w:eastAsia="en-US"/>
        </w:rPr>
        <w:t>383 milijun</w:t>
      </w:r>
      <w:r w:rsidR="00A50C83">
        <w:rPr>
          <w:rFonts w:eastAsia="Calibri"/>
          <w:lang w:eastAsia="en-US"/>
        </w:rPr>
        <w:t>a</w:t>
      </w:r>
      <w:r w:rsidRPr="008C7316">
        <w:rPr>
          <w:rFonts w:eastAsia="Calibri"/>
          <w:lang w:eastAsia="en-US"/>
        </w:rPr>
        <w:t xml:space="preserve"> eura. Veći dio ovog duga otpada na dug BINA ISTRE, koji iznosi </w:t>
      </w:r>
      <w:r>
        <w:rPr>
          <w:rFonts w:eastAsia="Calibri"/>
          <w:lang w:eastAsia="en-US"/>
        </w:rPr>
        <w:t>282</w:t>
      </w:r>
      <w:r w:rsidRPr="008C7316">
        <w:rPr>
          <w:rFonts w:eastAsia="Calibri"/>
          <w:lang w:eastAsia="en-US"/>
        </w:rPr>
        <w:t xml:space="preserve"> milijuna eura, dok se preostali dio od </w:t>
      </w:r>
      <w:r>
        <w:rPr>
          <w:rFonts w:eastAsia="Calibri"/>
          <w:lang w:eastAsia="en-US"/>
        </w:rPr>
        <w:t>100</w:t>
      </w:r>
      <w:r w:rsidRPr="008C7316">
        <w:rPr>
          <w:rFonts w:eastAsia="Calibri"/>
          <w:lang w:eastAsia="en-US"/>
        </w:rPr>
        <w:t xml:space="preserve"> milijuna eura odnosi na Međunarodnu zračnu luku Zagreb.</w:t>
      </w:r>
    </w:p>
    <w:p w14:paraId="33ABB561" w14:textId="65969778" w:rsidR="001940DA" w:rsidRPr="00EC4B19" w:rsidRDefault="001940DA" w:rsidP="001940DA">
      <w:pPr>
        <w:spacing w:before="240" w:line="276" w:lineRule="auto"/>
        <w:rPr>
          <w:rFonts w:eastAsia="Calibri"/>
          <w:lang w:eastAsia="en-US"/>
        </w:rPr>
      </w:pPr>
    </w:p>
    <w:p w14:paraId="5D5A2B58" w14:textId="77777777" w:rsidR="001940DA" w:rsidRPr="00EC4B19" w:rsidRDefault="001940DA" w:rsidP="001940DA">
      <w:pPr>
        <w:spacing w:line="276" w:lineRule="auto"/>
      </w:pPr>
    </w:p>
    <w:p w14:paraId="673DB864" w14:textId="77777777" w:rsidR="001940DA" w:rsidRPr="00EC4B19" w:rsidRDefault="001940DA" w:rsidP="001940DA">
      <w:pPr>
        <w:spacing w:line="276" w:lineRule="auto"/>
      </w:pPr>
    </w:p>
    <w:p w14:paraId="45D7C3F9" w14:textId="77777777" w:rsidR="001940DA" w:rsidRPr="00EC4B19" w:rsidRDefault="001940DA" w:rsidP="001940DA">
      <w:pPr>
        <w:spacing w:line="276" w:lineRule="auto"/>
      </w:pPr>
    </w:p>
    <w:p w14:paraId="0185F3AA" w14:textId="77777777" w:rsidR="001940DA" w:rsidRPr="00EC4B19" w:rsidRDefault="001940DA" w:rsidP="001940DA">
      <w:pPr>
        <w:spacing w:line="276" w:lineRule="auto"/>
      </w:pPr>
    </w:p>
    <w:p w14:paraId="0AE169D2" w14:textId="77777777" w:rsidR="001940DA" w:rsidRPr="00EC4B19" w:rsidRDefault="001940DA" w:rsidP="001940DA">
      <w:pPr>
        <w:spacing w:line="276" w:lineRule="auto"/>
      </w:pPr>
    </w:p>
    <w:p w14:paraId="04A56573" w14:textId="77777777" w:rsidR="001940DA" w:rsidRPr="00EC4B19" w:rsidRDefault="001940DA" w:rsidP="001940DA">
      <w:pPr>
        <w:spacing w:line="276" w:lineRule="auto"/>
      </w:pPr>
    </w:p>
    <w:p w14:paraId="5831A8AE" w14:textId="77777777" w:rsidR="001940DA" w:rsidRPr="00EC4B19" w:rsidRDefault="001940DA" w:rsidP="001940DA">
      <w:pPr>
        <w:spacing w:line="276" w:lineRule="auto"/>
      </w:pPr>
    </w:p>
    <w:p w14:paraId="042110BD" w14:textId="77777777" w:rsidR="001940DA" w:rsidRPr="00EC4B19" w:rsidRDefault="001940DA" w:rsidP="001940DA">
      <w:pPr>
        <w:spacing w:line="276" w:lineRule="auto"/>
      </w:pPr>
    </w:p>
    <w:p w14:paraId="038BE5A6" w14:textId="77777777" w:rsidR="001940DA" w:rsidRPr="00EC4B19" w:rsidRDefault="001940DA" w:rsidP="001940DA">
      <w:pPr>
        <w:spacing w:line="276" w:lineRule="auto"/>
      </w:pPr>
    </w:p>
    <w:p w14:paraId="28F5D39E" w14:textId="77777777" w:rsidR="001940DA" w:rsidRPr="00EC4B19" w:rsidRDefault="001940DA" w:rsidP="001940DA">
      <w:pPr>
        <w:spacing w:line="276" w:lineRule="auto"/>
      </w:pPr>
    </w:p>
    <w:p w14:paraId="76A382BE" w14:textId="6563C674" w:rsidR="00A50C83" w:rsidRDefault="001940DA" w:rsidP="00A50C83">
      <w:pPr>
        <w:pStyle w:val="Opisslike"/>
        <w:keepNext/>
        <w:spacing w:after="60"/>
        <w:rPr>
          <w:rFonts w:eastAsia="MS Mincho"/>
          <w:b/>
          <w:sz w:val="24"/>
          <w:szCs w:val="24"/>
        </w:rPr>
      </w:pPr>
      <w:r w:rsidRPr="001064A3">
        <w:rPr>
          <w:rFonts w:eastAsia="MS Mincho"/>
          <w:b/>
          <w:i w:val="0"/>
          <w:color w:val="auto"/>
          <w:sz w:val="24"/>
          <w:szCs w:val="24"/>
        </w:rPr>
        <w:lastRenderedPageBreak/>
        <w:t xml:space="preserve">Tablica </w:t>
      </w:r>
      <w:r w:rsidR="001064A3">
        <w:rPr>
          <w:rFonts w:eastAsia="MS Mincho"/>
          <w:b/>
          <w:i w:val="0"/>
          <w:color w:val="auto"/>
          <w:sz w:val="24"/>
          <w:szCs w:val="24"/>
        </w:rPr>
        <w:t>17:</w:t>
      </w:r>
      <w:r w:rsidRPr="001064A3">
        <w:rPr>
          <w:rFonts w:eastAsia="MS Mincho"/>
          <w:b/>
          <w:i w:val="0"/>
          <w:color w:val="auto"/>
          <w:sz w:val="24"/>
          <w:szCs w:val="24"/>
        </w:rPr>
        <w:t xml:space="preserve"> Unutarnji i inozemni dug opće države prema </w:t>
      </w:r>
      <w:proofErr w:type="spellStart"/>
      <w:r w:rsidRPr="001064A3">
        <w:rPr>
          <w:rFonts w:eastAsia="MS Mincho"/>
          <w:b/>
          <w:i w:val="0"/>
          <w:color w:val="auto"/>
          <w:sz w:val="24"/>
          <w:szCs w:val="24"/>
        </w:rPr>
        <w:t>podsektorima</w:t>
      </w:r>
      <w:proofErr w:type="spellEnd"/>
      <w:r w:rsidRPr="001064A3">
        <w:rPr>
          <w:rFonts w:eastAsia="MS Mincho"/>
          <w:b/>
          <w:i w:val="0"/>
          <w:color w:val="auto"/>
          <w:sz w:val="24"/>
          <w:szCs w:val="24"/>
        </w:rPr>
        <w:t xml:space="preserve"> 2021. - 2025.</w:t>
      </w:r>
      <w:r w:rsidR="00A50C83" w:rsidRPr="00A50C83">
        <w:rPr>
          <w:rFonts w:eastAsia="MS Mincho"/>
          <w:b/>
        </w:rPr>
        <w:t xml:space="preserve"> </w:t>
      </w:r>
    </w:p>
    <w:p w14:paraId="79DBBC10" w14:textId="6F9D3663" w:rsidR="00A50C83" w:rsidRPr="008C7316" w:rsidRDefault="00A50C83" w:rsidP="00A50C83">
      <w:pPr>
        <w:rPr>
          <w:rFonts w:eastAsia="MS Mincho"/>
        </w:rPr>
      </w:pPr>
      <w:r w:rsidRPr="009E360A">
        <w:rPr>
          <w:rFonts w:eastAsia="MS Mincho"/>
          <w:noProof/>
        </w:rPr>
        <w:drawing>
          <wp:inline distT="0" distB="0" distL="0" distR="0" wp14:anchorId="111891F1" wp14:editId="76ECA5B0">
            <wp:extent cx="5753100" cy="68961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53100" cy="6896100"/>
                    </a:xfrm>
                    <a:prstGeom prst="rect">
                      <a:avLst/>
                    </a:prstGeom>
                    <a:noFill/>
                    <a:ln>
                      <a:noFill/>
                    </a:ln>
                  </pic:spPr>
                </pic:pic>
              </a:graphicData>
            </a:graphic>
          </wp:inline>
        </w:drawing>
      </w:r>
    </w:p>
    <w:p w14:paraId="7DCABA8E" w14:textId="77777777" w:rsidR="00A50C83" w:rsidRDefault="00A50C83" w:rsidP="00A50C83">
      <w:pPr>
        <w:spacing w:line="276" w:lineRule="auto"/>
      </w:pPr>
    </w:p>
    <w:p w14:paraId="1B3D1875" w14:textId="6EF57273" w:rsidR="001940DA" w:rsidRDefault="00A50C83" w:rsidP="001940DA">
      <w:pPr>
        <w:spacing w:line="276" w:lineRule="auto"/>
      </w:pPr>
      <w:r w:rsidRPr="00A50C83">
        <w:t xml:space="preserve">Usprkos i dalje prisutnom restriktivnom karakteru monetarne politike, u okruženju visoke razine likvidnosti i dalje su zadržani pozitivni trendovi prilikom zaduživanja na domaćem i međunarodnom financijskom tržištu. </w:t>
      </w:r>
    </w:p>
    <w:p w14:paraId="59348695" w14:textId="165B441C" w:rsidR="00A50C83" w:rsidRDefault="00A50C83" w:rsidP="001940DA">
      <w:pPr>
        <w:spacing w:line="276" w:lineRule="auto"/>
      </w:pPr>
    </w:p>
    <w:p w14:paraId="46509467" w14:textId="77777777" w:rsidR="00A50C83" w:rsidRPr="00EC4B19" w:rsidRDefault="00A50C83" w:rsidP="001940DA">
      <w:pPr>
        <w:spacing w:line="276" w:lineRule="auto"/>
        <w:rPr>
          <w:sz w:val="16"/>
          <w:szCs w:val="16"/>
        </w:rPr>
      </w:pPr>
    </w:p>
    <w:p w14:paraId="3275B030" w14:textId="7A022C3A" w:rsidR="00A50C83" w:rsidRPr="00A50C83" w:rsidRDefault="001064A3" w:rsidP="00A50C83">
      <w:pPr>
        <w:pStyle w:val="Opisslike"/>
        <w:keepNext/>
      </w:pPr>
      <w:r>
        <w:rPr>
          <w:rFonts w:eastAsia="MS Mincho"/>
          <w:b/>
          <w:i w:val="0"/>
          <w:color w:val="auto"/>
          <w:sz w:val="24"/>
          <w:szCs w:val="24"/>
        </w:rPr>
        <w:lastRenderedPageBreak/>
        <w:t>Grafikon 8:</w:t>
      </w:r>
      <w:r w:rsidR="001940DA" w:rsidRPr="001064A3">
        <w:rPr>
          <w:rFonts w:eastAsia="MS Mincho"/>
          <w:b/>
          <w:i w:val="0"/>
          <w:color w:val="auto"/>
          <w:sz w:val="24"/>
          <w:szCs w:val="24"/>
        </w:rPr>
        <w:t xml:space="preserve"> Kretanje duga opće države 2019. – 2025.</w:t>
      </w:r>
    </w:p>
    <w:p w14:paraId="570D1C73" w14:textId="10D19741" w:rsidR="001940DA" w:rsidRPr="00EC4B19" w:rsidRDefault="001940DA" w:rsidP="001940DA">
      <w:pPr>
        <w:spacing w:line="276" w:lineRule="auto"/>
      </w:pPr>
      <w:r w:rsidRPr="00EC4B19">
        <w:rPr>
          <w:noProof/>
        </w:rPr>
        <w:drawing>
          <wp:inline distT="0" distB="0" distL="0" distR="0" wp14:anchorId="20D8F8D7" wp14:editId="1C1C9D77">
            <wp:extent cx="5759450" cy="2675255"/>
            <wp:effectExtent l="0" t="0" r="0" b="0"/>
            <wp:docPr id="106"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9450" cy="2675255"/>
                    </a:xfrm>
                    <a:prstGeom prst="rect">
                      <a:avLst/>
                    </a:prstGeom>
                    <a:noFill/>
                  </pic:spPr>
                </pic:pic>
              </a:graphicData>
            </a:graphic>
          </wp:inline>
        </w:drawing>
      </w:r>
    </w:p>
    <w:p w14:paraId="2D095387" w14:textId="77777777" w:rsidR="001940DA" w:rsidRPr="00EC4B19" w:rsidRDefault="001940DA" w:rsidP="001940DA">
      <w:pPr>
        <w:spacing w:after="120" w:line="276" w:lineRule="auto"/>
        <w:rPr>
          <w:sz w:val="20"/>
          <w:szCs w:val="20"/>
        </w:rPr>
      </w:pPr>
      <w:r w:rsidRPr="00EC4B19">
        <w:rPr>
          <w:sz w:val="20"/>
          <w:szCs w:val="20"/>
        </w:rPr>
        <w:t>Izvor: Hrvatska narodna banka, Državni zavod za statistiku</w:t>
      </w:r>
    </w:p>
    <w:p w14:paraId="59D61D29" w14:textId="77777777" w:rsidR="001940DA" w:rsidRPr="00EC4B19" w:rsidRDefault="001940DA" w:rsidP="001940DA">
      <w:pPr>
        <w:spacing w:line="276" w:lineRule="auto"/>
        <w:rPr>
          <w:sz w:val="16"/>
          <w:szCs w:val="16"/>
        </w:rPr>
      </w:pPr>
    </w:p>
    <w:p w14:paraId="5B4351EF" w14:textId="77777777" w:rsidR="00A50C83" w:rsidRPr="00F56F2B" w:rsidRDefault="00A50C83" w:rsidP="00A50C83">
      <w:pPr>
        <w:spacing w:after="240" w:line="276" w:lineRule="auto"/>
      </w:pPr>
      <w:r w:rsidRPr="003A3276">
        <w:t xml:space="preserve">Iako su negativne gospodarske posljedice </w:t>
      </w:r>
      <w:proofErr w:type="spellStart"/>
      <w:r w:rsidRPr="003A3276">
        <w:t>pandemije</w:t>
      </w:r>
      <w:proofErr w:type="spellEnd"/>
      <w:r w:rsidRPr="003A3276">
        <w:t xml:space="preserve"> </w:t>
      </w:r>
      <w:proofErr w:type="spellStart"/>
      <w:r w:rsidRPr="003A3276">
        <w:t>koronavirusa</w:t>
      </w:r>
      <w:proofErr w:type="spellEnd"/>
      <w:r w:rsidRPr="003A3276">
        <w:t xml:space="preserve"> dovele do visokog proračunskog manjka te rasta javnog duga u 2020. godini, </w:t>
      </w:r>
      <w:r>
        <w:t>proteklih</w:t>
      </w:r>
      <w:r w:rsidRPr="003A3276">
        <w:t xml:space="preserve"> godin</w:t>
      </w:r>
      <w:r>
        <w:t>a</w:t>
      </w:r>
      <w:r w:rsidRPr="003A3276">
        <w:t xml:space="preserve"> navedeni pokazatelji bilježe znatno poboljšanje. Tako </w:t>
      </w:r>
      <w:r>
        <w:t>j</w:t>
      </w:r>
      <w:r w:rsidRPr="003A3276">
        <w:t xml:space="preserve">e nakon </w:t>
      </w:r>
      <w:r>
        <w:t>uravnoteženog</w:t>
      </w:r>
      <w:r w:rsidRPr="003A3276">
        <w:t xml:space="preserve"> proračuna opće države u 202</w:t>
      </w:r>
      <w:r>
        <w:t>2</w:t>
      </w:r>
      <w:r w:rsidRPr="003A3276">
        <w:t>., u 202</w:t>
      </w:r>
      <w:r>
        <w:t>3</w:t>
      </w:r>
      <w:r w:rsidRPr="003A3276">
        <w:t>.</w:t>
      </w:r>
      <w:r>
        <w:t xml:space="preserve"> i 2024.</w:t>
      </w:r>
      <w:r w:rsidRPr="003A3276">
        <w:t xml:space="preserve"> godini </w:t>
      </w:r>
      <w:r>
        <w:t xml:space="preserve">ostvaren </w:t>
      </w:r>
      <w:r w:rsidRPr="003A3276">
        <w:t xml:space="preserve">proračunski </w:t>
      </w:r>
      <w:r>
        <w:t>manjak</w:t>
      </w:r>
      <w:r w:rsidRPr="003A3276">
        <w:t xml:space="preserve"> </w:t>
      </w:r>
      <w:r>
        <w:t xml:space="preserve">i to </w:t>
      </w:r>
      <w:r w:rsidRPr="003A3276">
        <w:t xml:space="preserve">od </w:t>
      </w:r>
      <w:r>
        <w:t>1</w:t>
      </w:r>
      <w:r w:rsidRPr="003A3276">
        <w:t>,</w:t>
      </w:r>
      <w:r>
        <w:t>1</w:t>
      </w:r>
      <w:r w:rsidRPr="003A3276">
        <w:t>% BDP-a</w:t>
      </w:r>
      <w:r>
        <w:t xml:space="preserve"> odnosno 2,3% BDP-a</w:t>
      </w:r>
      <w:r w:rsidRPr="003A3276">
        <w:t xml:space="preserve">. </w:t>
      </w:r>
      <w:r>
        <w:t xml:space="preserve">U 2025. godini manjak proračuna opće države iznosio je 3% BDP-a. </w:t>
      </w:r>
      <w:r w:rsidRPr="003A3276">
        <w:t xml:space="preserve">Istovremeno, </w:t>
      </w:r>
      <w:r>
        <w:t>dug opće države</w:t>
      </w:r>
      <w:r w:rsidRPr="003A3276">
        <w:t xml:space="preserve"> dosegnuo</w:t>
      </w:r>
      <w:r>
        <w:t xml:space="preserve"> je</w:t>
      </w:r>
      <w:r w:rsidRPr="003A3276">
        <w:t xml:space="preserve"> razinu od </w:t>
      </w:r>
      <w:r>
        <w:t>56,3</w:t>
      </w:r>
      <w:r w:rsidRPr="003A3276">
        <w:t xml:space="preserve">% BDP-a, čime je u odnosu na prethodnu godinu smanjen za </w:t>
      </w:r>
      <w:r>
        <w:t>1,04</w:t>
      </w:r>
      <w:r w:rsidRPr="003A3276">
        <w:t xml:space="preserve"> postotn</w:t>
      </w:r>
      <w:r>
        <w:t>a bod</w:t>
      </w:r>
      <w:r w:rsidRPr="003A3276">
        <w:t>a</w:t>
      </w:r>
      <w:r>
        <w:t xml:space="preserve">. </w:t>
      </w:r>
      <w:r w:rsidRPr="002732BC">
        <w:t xml:space="preserve">Time su i kriteriji proračunskog manjka i duga opće države ispunjeni sukladno pravilima </w:t>
      </w:r>
      <w:proofErr w:type="spellStart"/>
      <w:r w:rsidRPr="002732BC">
        <w:t>Maastrichta</w:t>
      </w:r>
      <w:proofErr w:type="spellEnd"/>
      <w:r w:rsidRPr="002732BC">
        <w:t>.</w:t>
      </w:r>
    </w:p>
    <w:p w14:paraId="6FCBC082" w14:textId="77777777" w:rsidR="009445B6" w:rsidRPr="00EC4B19" w:rsidRDefault="009445B6" w:rsidP="009445B6">
      <w:pPr>
        <w:spacing w:line="276" w:lineRule="auto"/>
      </w:pPr>
    </w:p>
    <w:sectPr w:rsidR="009445B6" w:rsidRPr="00EC4B19" w:rsidSect="001B639D">
      <w:footerReference w:type="defaul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6430C" w14:textId="77777777" w:rsidR="00AC7C5D" w:rsidRDefault="00AC7C5D" w:rsidP="00AC7C5D">
      <w:r>
        <w:separator/>
      </w:r>
    </w:p>
  </w:endnote>
  <w:endnote w:type="continuationSeparator" w:id="0">
    <w:p w14:paraId="2432B3FA" w14:textId="77777777" w:rsidR="00AC7C5D" w:rsidRDefault="00AC7C5D" w:rsidP="00AC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604252"/>
      <w:docPartObj>
        <w:docPartGallery w:val="Page Numbers (Bottom of Page)"/>
        <w:docPartUnique/>
      </w:docPartObj>
    </w:sdtPr>
    <w:sdtEndPr/>
    <w:sdtContent>
      <w:p w14:paraId="4F74DD2E" w14:textId="5C468E07" w:rsidR="000E49E5" w:rsidRDefault="000E49E5">
        <w:pPr>
          <w:pStyle w:val="Podnoje"/>
          <w:jc w:val="center"/>
        </w:pPr>
        <w:r>
          <w:fldChar w:fldCharType="begin"/>
        </w:r>
        <w:r>
          <w:instrText>PAGE   \* MERGEFORMAT</w:instrText>
        </w:r>
        <w:r>
          <w:fldChar w:fldCharType="separate"/>
        </w:r>
        <w:r w:rsidR="008063C3">
          <w:rPr>
            <w:noProof/>
          </w:rPr>
          <w:t>21</w:t>
        </w:r>
        <w:r>
          <w:fldChar w:fldCharType="end"/>
        </w:r>
      </w:p>
    </w:sdtContent>
  </w:sdt>
  <w:p w14:paraId="27B5DC84" w14:textId="77777777" w:rsidR="000E49E5" w:rsidRDefault="000E49E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BE6C0" w14:textId="77777777" w:rsidR="00AC7C5D" w:rsidRDefault="00AC7C5D" w:rsidP="00AC7C5D">
      <w:r>
        <w:separator/>
      </w:r>
    </w:p>
  </w:footnote>
  <w:footnote w:type="continuationSeparator" w:id="0">
    <w:p w14:paraId="02D2645D" w14:textId="77777777" w:rsidR="00AC7C5D" w:rsidRDefault="00AC7C5D" w:rsidP="00AC7C5D">
      <w:r>
        <w:continuationSeparator/>
      </w:r>
    </w:p>
  </w:footnote>
  <w:footnote w:id="1">
    <w:p w14:paraId="60634482" w14:textId="77777777" w:rsidR="002A13AB" w:rsidRPr="00AB6A56" w:rsidRDefault="002A13AB" w:rsidP="002A13AB">
      <w:pPr>
        <w:pStyle w:val="Tekstfusnote"/>
        <w:rPr>
          <w:rFonts w:ascii="Times New Roman" w:hAnsi="Times New Roman" w:cs="Times New Roman"/>
          <w:sz w:val="18"/>
          <w:szCs w:val="18"/>
        </w:rPr>
      </w:pPr>
      <w:r w:rsidRPr="00AB6A56">
        <w:rPr>
          <w:rStyle w:val="Referencafusnote"/>
          <w:rFonts w:ascii="Times New Roman" w:hAnsi="Times New Roman" w:cs="Times New Roman"/>
          <w:sz w:val="18"/>
          <w:szCs w:val="18"/>
        </w:rPr>
        <w:footnoteRef/>
      </w:r>
      <w:r w:rsidRPr="00AB6A56">
        <w:rPr>
          <w:rFonts w:ascii="Times New Roman" w:hAnsi="Times New Roman" w:cs="Times New Roman"/>
          <w:sz w:val="18"/>
          <w:szCs w:val="18"/>
        </w:rPr>
        <w:t xml:space="preserve"> Podaci o BDP-u za 2025. godinu su privremeni. </w:t>
      </w:r>
    </w:p>
  </w:footnote>
  <w:footnote w:id="2">
    <w:p w14:paraId="3F99350E" w14:textId="77777777" w:rsidR="00F927C2" w:rsidRPr="00AB6A56" w:rsidRDefault="00F927C2" w:rsidP="00F927C2">
      <w:pPr>
        <w:pStyle w:val="Tekstfusnote"/>
        <w:rPr>
          <w:rFonts w:ascii="Times New Roman" w:hAnsi="Times New Roman" w:cs="Times New Roman"/>
          <w:sz w:val="18"/>
          <w:szCs w:val="18"/>
        </w:rPr>
      </w:pPr>
      <w:r w:rsidRPr="00AB6A56">
        <w:rPr>
          <w:rStyle w:val="Referencafusnote"/>
          <w:rFonts w:ascii="Times New Roman" w:hAnsi="Times New Roman" w:cs="Times New Roman"/>
          <w:sz w:val="18"/>
          <w:szCs w:val="18"/>
        </w:rPr>
        <w:footnoteRef/>
      </w:r>
      <w:r w:rsidRPr="00AB6A56">
        <w:rPr>
          <w:rFonts w:ascii="Times New Roman" w:hAnsi="Times New Roman" w:cs="Times New Roman"/>
          <w:sz w:val="18"/>
          <w:szCs w:val="18"/>
        </w:rPr>
        <w:t xml:space="preserve"> Narodne novine br. 5/2024</w:t>
      </w:r>
    </w:p>
  </w:footnote>
  <w:footnote w:id="3">
    <w:p w14:paraId="06D98A49" w14:textId="77777777" w:rsidR="00B60BB9" w:rsidRPr="00B60BB9" w:rsidRDefault="00B60BB9" w:rsidP="00B60BB9">
      <w:pPr>
        <w:pStyle w:val="Tekstfusnote"/>
        <w:jc w:val="both"/>
        <w:rPr>
          <w:rFonts w:ascii="Times New Roman" w:hAnsi="Times New Roman" w:cs="Times New Roman"/>
        </w:rPr>
      </w:pPr>
      <w:r w:rsidRPr="00B60BB9">
        <w:rPr>
          <w:rStyle w:val="Referencafusnote"/>
          <w:rFonts w:ascii="Times New Roman" w:hAnsi="Times New Roman" w:cs="Times New Roman"/>
        </w:rPr>
        <w:footnoteRef/>
      </w:r>
      <w:r w:rsidRPr="00B60BB9">
        <w:rPr>
          <w:rFonts w:ascii="Times New Roman" w:hAnsi="Times New Roman" w:cs="Times New Roman"/>
        </w:rPr>
        <w:t xml:space="preserve"> </w:t>
      </w:r>
      <w:r w:rsidRPr="00B60BB9">
        <w:rPr>
          <w:rFonts w:ascii="Times New Roman" w:hAnsi="Times New Roman" w:cs="Times New Roman"/>
          <w:sz w:val="18"/>
          <w:szCs w:val="18"/>
        </w:rPr>
        <w:t>Izvanproračunski korisnici se prema novom Zakonu o proračunu koji je stupio na snagu 1. siječnja 2022. svrstavaju u dvije skupine od kojih se na jednu primjenjuju pojedine odredbe zakona gotovo istovjetno proračunskim korisnicima, dok se za drugu skupinu propisuje samo obveza dostave određenih podataka. Prvoj skupini pripadaju ustanove, trgovačka društva i pravne osobe koje nisu proračunski korisnici, ali im je osnivač/vlasnik RH ili JLP(R)S ili u njima imaju odlučujući utjecaj te se u opći proračun uključuju prema načinu financiranja. Također se prema pravilima ESA 2010 metodologije razvrstavaju u sektor opće države. U drugu skupinu uključuju se oni izvanproračunski korisnici koji pripadaju sektoru opće države samo prema pravilima ESA 2010 metodologije.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E52F8"/>
    <w:multiLevelType w:val="hybridMultilevel"/>
    <w:tmpl w:val="927AD9CE"/>
    <w:lvl w:ilvl="0" w:tplc="041A0003">
      <w:start w:val="1"/>
      <w:numFmt w:val="bullet"/>
      <w:lvlText w:val="o"/>
      <w:lvlJc w:val="left"/>
      <w:pPr>
        <w:ind w:left="1068" w:hanging="360"/>
      </w:pPr>
      <w:rPr>
        <w:rFonts w:ascii="Courier New" w:hAnsi="Courier New" w:cs="Courier New"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 w15:restartNumberingAfterBreak="0">
    <w:nsid w:val="137353F0"/>
    <w:multiLevelType w:val="hybridMultilevel"/>
    <w:tmpl w:val="EA22B33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41224ED"/>
    <w:multiLevelType w:val="hybridMultilevel"/>
    <w:tmpl w:val="7DC4564A"/>
    <w:lvl w:ilvl="0" w:tplc="BA64420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A916CD5"/>
    <w:multiLevelType w:val="hybridMultilevel"/>
    <w:tmpl w:val="B722145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1D068B6"/>
    <w:multiLevelType w:val="hybridMultilevel"/>
    <w:tmpl w:val="B204FA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285337AE"/>
    <w:multiLevelType w:val="hybridMultilevel"/>
    <w:tmpl w:val="7E8656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C334FA4"/>
    <w:multiLevelType w:val="hybridMultilevel"/>
    <w:tmpl w:val="3E4410E0"/>
    <w:lvl w:ilvl="0" w:tplc="9848A6D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32E0780E"/>
    <w:multiLevelType w:val="hybridMultilevel"/>
    <w:tmpl w:val="6D8E78E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348E7139"/>
    <w:multiLevelType w:val="hybridMultilevel"/>
    <w:tmpl w:val="D4AECEAA"/>
    <w:lvl w:ilvl="0" w:tplc="FEB4D870">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9" w15:restartNumberingAfterBreak="0">
    <w:nsid w:val="42420D76"/>
    <w:multiLevelType w:val="hybridMultilevel"/>
    <w:tmpl w:val="467EE450"/>
    <w:lvl w:ilvl="0" w:tplc="967800D6">
      <w:start w:val="1"/>
      <w:numFmt w:val="bullet"/>
      <w:lvlText w:val=""/>
      <w:lvlJc w:val="left"/>
      <w:pPr>
        <w:ind w:left="-1314" w:hanging="360"/>
      </w:pPr>
      <w:rPr>
        <w:rFonts w:ascii="Symbol" w:hAnsi="Symbol" w:hint="default"/>
        <w:color w:val="000000" w:themeColor="text1"/>
      </w:rPr>
    </w:lvl>
    <w:lvl w:ilvl="1" w:tplc="041A0003">
      <w:start w:val="1"/>
      <w:numFmt w:val="bullet"/>
      <w:lvlText w:val="o"/>
      <w:lvlJc w:val="left"/>
      <w:pPr>
        <w:ind w:left="-600" w:hanging="360"/>
      </w:pPr>
      <w:rPr>
        <w:rFonts w:ascii="Courier New" w:hAnsi="Courier New" w:cs="Courier New" w:hint="default"/>
      </w:rPr>
    </w:lvl>
    <w:lvl w:ilvl="2" w:tplc="041A0005">
      <w:start w:val="1"/>
      <w:numFmt w:val="bullet"/>
      <w:lvlText w:val=""/>
      <w:lvlJc w:val="left"/>
      <w:pPr>
        <w:ind w:left="120" w:hanging="360"/>
      </w:pPr>
      <w:rPr>
        <w:rFonts w:ascii="Wingdings" w:hAnsi="Wingdings" w:hint="default"/>
      </w:rPr>
    </w:lvl>
    <w:lvl w:ilvl="3" w:tplc="041A0001">
      <w:start w:val="1"/>
      <w:numFmt w:val="bullet"/>
      <w:lvlText w:val=""/>
      <w:lvlJc w:val="left"/>
      <w:pPr>
        <w:ind w:left="840" w:hanging="360"/>
      </w:pPr>
      <w:rPr>
        <w:rFonts w:ascii="Symbol" w:hAnsi="Symbol" w:hint="default"/>
      </w:rPr>
    </w:lvl>
    <w:lvl w:ilvl="4" w:tplc="041A0003">
      <w:start w:val="1"/>
      <w:numFmt w:val="bullet"/>
      <w:lvlText w:val="o"/>
      <w:lvlJc w:val="left"/>
      <w:pPr>
        <w:ind w:left="1560" w:hanging="360"/>
      </w:pPr>
      <w:rPr>
        <w:rFonts w:ascii="Courier New" w:hAnsi="Courier New" w:cs="Courier New" w:hint="default"/>
      </w:rPr>
    </w:lvl>
    <w:lvl w:ilvl="5" w:tplc="041A0005">
      <w:start w:val="1"/>
      <w:numFmt w:val="bullet"/>
      <w:lvlText w:val=""/>
      <w:lvlJc w:val="left"/>
      <w:pPr>
        <w:ind w:left="2280" w:hanging="360"/>
      </w:pPr>
      <w:rPr>
        <w:rFonts w:ascii="Wingdings" w:hAnsi="Wingdings" w:hint="default"/>
      </w:rPr>
    </w:lvl>
    <w:lvl w:ilvl="6" w:tplc="041A0001">
      <w:start w:val="1"/>
      <w:numFmt w:val="bullet"/>
      <w:lvlText w:val=""/>
      <w:lvlJc w:val="left"/>
      <w:pPr>
        <w:ind w:left="3000" w:hanging="360"/>
      </w:pPr>
      <w:rPr>
        <w:rFonts w:ascii="Symbol" w:hAnsi="Symbol" w:hint="default"/>
      </w:rPr>
    </w:lvl>
    <w:lvl w:ilvl="7" w:tplc="041A0003">
      <w:start w:val="1"/>
      <w:numFmt w:val="bullet"/>
      <w:lvlText w:val="o"/>
      <w:lvlJc w:val="left"/>
      <w:pPr>
        <w:ind w:left="3720" w:hanging="360"/>
      </w:pPr>
      <w:rPr>
        <w:rFonts w:ascii="Courier New" w:hAnsi="Courier New" w:cs="Courier New" w:hint="default"/>
      </w:rPr>
    </w:lvl>
    <w:lvl w:ilvl="8" w:tplc="041A0005">
      <w:start w:val="1"/>
      <w:numFmt w:val="bullet"/>
      <w:lvlText w:val=""/>
      <w:lvlJc w:val="left"/>
      <w:pPr>
        <w:ind w:left="4440" w:hanging="360"/>
      </w:pPr>
      <w:rPr>
        <w:rFonts w:ascii="Wingdings" w:hAnsi="Wingdings" w:hint="default"/>
      </w:rPr>
    </w:lvl>
  </w:abstractNum>
  <w:abstractNum w:abstractNumId="10" w15:restartNumberingAfterBreak="0">
    <w:nsid w:val="436775AB"/>
    <w:multiLevelType w:val="hybridMultilevel"/>
    <w:tmpl w:val="9FFC0654"/>
    <w:lvl w:ilvl="0" w:tplc="1EE0E20C">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45366AA3"/>
    <w:multiLevelType w:val="hybridMultilevel"/>
    <w:tmpl w:val="B406E210"/>
    <w:lvl w:ilvl="0" w:tplc="3DB46BBC">
      <w:start w:val="1"/>
      <w:numFmt w:val="bullet"/>
      <w:lvlText w:val=""/>
      <w:lvlJc w:val="left"/>
      <w:pPr>
        <w:ind w:left="780" w:hanging="360"/>
      </w:pPr>
      <w:rPr>
        <w:rFonts w:ascii="Symbol" w:hAnsi="Symbol" w:hint="default"/>
        <w:color w:val="auto"/>
      </w:rPr>
    </w:lvl>
    <w:lvl w:ilvl="1" w:tplc="041A0003">
      <w:start w:val="1"/>
      <w:numFmt w:val="bullet"/>
      <w:lvlText w:val="o"/>
      <w:lvlJc w:val="left"/>
      <w:pPr>
        <w:ind w:left="1500" w:hanging="360"/>
      </w:pPr>
      <w:rPr>
        <w:rFonts w:ascii="Courier New" w:hAnsi="Courier New" w:cs="Courier New" w:hint="default"/>
      </w:rPr>
    </w:lvl>
    <w:lvl w:ilvl="2" w:tplc="041A0005">
      <w:start w:val="1"/>
      <w:numFmt w:val="bullet"/>
      <w:lvlText w:val=""/>
      <w:lvlJc w:val="left"/>
      <w:pPr>
        <w:ind w:left="2220" w:hanging="360"/>
      </w:pPr>
      <w:rPr>
        <w:rFonts w:ascii="Wingdings" w:hAnsi="Wingdings" w:hint="default"/>
      </w:rPr>
    </w:lvl>
    <w:lvl w:ilvl="3" w:tplc="041A0001">
      <w:start w:val="1"/>
      <w:numFmt w:val="bullet"/>
      <w:lvlText w:val=""/>
      <w:lvlJc w:val="left"/>
      <w:pPr>
        <w:ind w:left="2940" w:hanging="360"/>
      </w:pPr>
      <w:rPr>
        <w:rFonts w:ascii="Symbol" w:hAnsi="Symbol" w:hint="default"/>
      </w:rPr>
    </w:lvl>
    <w:lvl w:ilvl="4" w:tplc="041A0003">
      <w:start w:val="1"/>
      <w:numFmt w:val="bullet"/>
      <w:lvlText w:val="o"/>
      <w:lvlJc w:val="left"/>
      <w:pPr>
        <w:ind w:left="3660" w:hanging="360"/>
      </w:pPr>
      <w:rPr>
        <w:rFonts w:ascii="Courier New" w:hAnsi="Courier New" w:cs="Courier New" w:hint="default"/>
      </w:rPr>
    </w:lvl>
    <w:lvl w:ilvl="5" w:tplc="041A0005">
      <w:start w:val="1"/>
      <w:numFmt w:val="bullet"/>
      <w:lvlText w:val=""/>
      <w:lvlJc w:val="left"/>
      <w:pPr>
        <w:ind w:left="4380" w:hanging="360"/>
      </w:pPr>
      <w:rPr>
        <w:rFonts w:ascii="Wingdings" w:hAnsi="Wingdings" w:hint="default"/>
      </w:rPr>
    </w:lvl>
    <w:lvl w:ilvl="6" w:tplc="041A0001">
      <w:start w:val="1"/>
      <w:numFmt w:val="bullet"/>
      <w:lvlText w:val=""/>
      <w:lvlJc w:val="left"/>
      <w:pPr>
        <w:ind w:left="5100" w:hanging="360"/>
      </w:pPr>
      <w:rPr>
        <w:rFonts w:ascii="Symbol" w:hAnsi="Symbol" w:hint="default"/>
      </w:rPr>
    </w:lvl>
    <w:lvl w:ilvl="7" w:tplc="041A0003">
      <w:start w:val="1"/>
      <w:numFmt w:val="bullet"/>
      <w:lvlText w:val="o"/>
      <w:lvlJc w:val="left"/>
      <w:pPr>
        <w:ind w:left="5820" w:hanging="360"/>
      </w:pPr>
      <w:rPr>
        <w:rFonts w:ascii="Courier New" w:hAnsi="Courier New" w:cs="Courier New" w:hint="default"/>
      </w:rPr>
    </w:lvl>
    <w:lvl w:ilvl="8" w:tplc="041A0005">
      <w:start w:val="1"/>
      <w:numFmt w:val="bullet"/>
      <w:lvlText w:val=""/>
      <w:lvlJc w:val="left"/>
      <w:pPr>
        <w:ind w:left="6540" w:hanging="360"/>
      </w:pPr>
      <w:rPr>
        <w:rFonts w:ascii="Wingdings" w:hAnsi="Wingdings" w:hint="default"/>
      </w:rPr>
    </w:lvl>
  </w:abstractNum>
  <w:abstractNum w:abstractNumId="12" w15:restartNumberingAfterBreak="0">
    <w:nsid w:val="453A090D"/>
    <w:multiLevelType w:val="hybridMultilevel"/>
    <w:tmpl w:val="C596A9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54352DE"/>
    <w:multiLevelType w:val="hybridMultilevel"/>
    <w:tmpl w:val="905211F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46CE00B9"/>
    <w:multiLevelType w:val="hybridMultilevel"/>
    <w:tmpl w:val="110EC6E2"/>
    <w:lvl w:ilvl="0" w:tplc="FB569C00">
      <w:start w:val="576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AB70C59"/>
    <w:multiLevelType w:val="hybridMultilevel"/>
    <w:tmpl w:val="B4D28D8C"/>
    <w:lvl w:ilvl="0" w:tplc="4206434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529269BA"/>
    <w:multiLevelType w:val="hybridMultilevel"/>
    <w:tmpl w:val="91F01D34"/>
    <w:lvl w:ilvl="0" w:tplc="FF261BD0">
      <w:start w:val="1"/>
      <w:numFmt w:val="bullet"/>
      <w:lvlText w:val="-"/>
      <w:lvlJc w:val="left"/>
      <w:pPr>
        <w:ind w:left="720" w:hanging="360"/>
      </w:pPr>
      <w:rPr>
        <w:rFonts w:ascii="Sylfaen" w:hAnsi="Sylfae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55B524E"/>
    <w:multiLevelType w:val="hybridMultilevel"/>
    <w:tmpl w:val="607A7B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ADC620F"/>
    <w:multiLevelType w:val="hybridMultilevel"/>
    <w:tmpl w:val="2F401B8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5B8D097D"/>
    <w:multiLevelType w:val="hybridMultilevel"/>
    <w:tmpl w:val="5D90D206"/>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start w:val="1"/>
      <w:numFmt w:val="bullet"/>
      <w:lvlText w:val=""/>
      <w:lvlJc w:val="left"/>
      <w:pPr>
        <w:ind w:left="2220" w:hanging="360"/>
      </w:pPr>
      <w:rPr>
        <w:rFonts w:ascii="Wingdings" w:hAnsi="Wingdings" w:hint="default"/>
      </w:rPr>
    </w:lvl>
    <w:lvl w:ilvl="3" w:tplc="041A0001">
      <w:start w:val="1"/>
      <w:numFmt w:val="bullet"/>
      <w:lvlText w:val=""/>
      <w:lvlJc w:val="left"/>
      <w:pPr>
        <w:ind w:left="2940" w:hanging="360"/>
      </w:pPr>
      <w:rPr>
        <w:rFonts w:ascii="Symbol" w:hAnsi="Symbol" w:hint="default"/>
      </w:rPr>
    </w:lvl>
    <w:lvl w:ilvl="4" w:tplc="041A0003">
      <w:start w:val="1"/>
      <w:numFmt w:val="bullet"/>
      <w:lvlText w:val="o"/>
      <w:lvlJc w:val="left"/>
      <w:pPr>
        <w:ind w:left="3660" w:hanging="360"/>
      </w:pPr>
      <w:rPr>
        <w:rFonts w:ascii="Courier New" w:hAnsi="Courier New" w:cs="Courier New" w:hint="default"/>
      </w:rPr>
    </w:lvl>
    <w:lvl w:ilvl="5" w:tplc="041A0005">
      <w:start w:val="1"/>
      <w:numFmt w:val="bullet"/>
      <w:lvlText w:val=""/>
      <w:lvlJc w:val="left"/>
      <w:pPr>
        <w:ind w:left="4380" w:hanging="360"/>
      </w:pPr>
      <w:rPr>
        <w:rFonts w:ascii="Wingdings" w:hAnsi="Wingdings" w:hint="default"/>
      </w:rPr>
    </w:lvl>
    <w:lvl w:ilvl="6" w:tplc="041A0001">
      <w:start w:val="1"/>
      <w:numFmt w:val="bullet"/>
      <w:lvlText w:val=""/>
      <w:lvlJc w:val="left"/>
      <w:pPr>
        <w:ind w:left="5100" w:hanging="360"/>
      </w:pPr>
      <w:rPr>
        <w:rFonts w:ascii="Symbol" w:hAnsi="Symbol" w:hint="default"/>
      </w:rPr>
    </w:lvl>
    <w:lvl w:ilvl="7" w:tplc="041A0003">
      <w:start w:val="1"/>
      <w:numFmt w:val="bullet"/>
      <w:lvlText w:val="o"/>
      <w:lvlJc w:val="left"/>
      <w:pPr>
        <w:ind w:left="5820" w:hanging="360"/>
      </w:pPr>
      <w:rPr>
        <w:rFonts w:ascii="Courier New" w:hAnsi="Courier New" w:cs="Courier New" w:hint="default"/>
      </w:rPr>
    </w:lvl>
    <w:lvl w:ilvl="8" w:tplc="041A0005">
      <w:start w:val="1"/>
      <w:numFmt w:val="bullet"/>
      <w:lvlText w:val=""/>
      <w:lvlJc w:val="left"/>
      <w:pPr>
        <w:ind w:left="6540" w:hanging="360"/>
      </w:pPr>
      <w:rPr>
        <w:rFonts w:ascii="Wingdings" w:hAnsi="Wingdings" w:hint="default"/>
      </w:rPr>
    </w:lvl>
  </w:abstractNum>
  <w:abstractNum w:abstractNumId="20" w15:restartNumberingAfterBreak="0">
    <w:nsid w:val="60142442"/>
    <w:multiLevelType w:val="hybridMultilevel"/>
    <w:tmpl w:val="23D4D89C"/>
    <w:lvl w:ilvl="0" w:tplc="51FA49A6">
      <w:start w:val="1"/>
      <w:numFmt w:val="bullet"/>
      <w:lvlText w:val="o"/>
      <w:lvlJc w:val="left"/>
      <w:pPr>
        <w:ind w:left="1068" w:hanging="360"/>
      </w:pPr>
      <w:rPr>
        <w:rFonts w:ascii="Courier New" w:hAnsi="Courier New" w:cs="Courier New" w:hint="default"/>
        <w:color w:val="auto"/>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21" w15:restartNumberingAfterBreak="0">
    <w:nsid w:val="63B32728"/>
    <w:multiLevelType w:val="hybridMultilevel"/>
    <w:tmpl w:val="E9F878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68374CE3"/>
    <w:multiLevelType w:val="hybridMultilevel"/>
    <w:tmpl w:val="BE96F0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15:restartNumberingAfterBreak="0">
    <w:nsid w:val="6E1F5EA8"/>
    <w:multiLevelType w:val="hybridMultilevel"/>
    <w:tmpl w:val="5906BC0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6FD64441"/>
    <w:multiLevelType w:val="hybridMultilevel"/>
    <w:tmpl w:val="69AC6598"/>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5" w15:restartNumberingAfterBreak="0">
    <w:nsid w:val="73CC246A"/>
    <w:multiLevelType w:val="hybridMultilevel"/>
    <w:tmpl w:val="724EA5B6"/>
    <w:lvl w:ilvl="0" w:tplc="4206434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6" w15:restartNumberingAfterBreak="0">
    <w:nsid w:val="76741C33"/>
    <w:multiLevelType w:val="hybridMultilevel"/>
    <w:tmpl w:val="A39626EA"/>
    <w:lvl w:ilvl="0" w:tplc="32AE8DD0">
      <w:start w:val="1"/>
      <w:numFmt w:val="bullet"/>
      <w:lvlText w:val=""/>
      <w:lvlJc w:val="left"/>
      <w:pPr>
        <w:ind w:left="720" w:hanging="360"/>
      </w:pPr>
      <w:rPr>
        <w:rFonts w:ascii="Symbol" w:hAnsi="Symbol" w:hint="default"/>
        <w:color w:val="0070C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6"/>
  </w:num>
  <w:num w:numId="4">
    <w:abstractNumId w:val="14"/>
  </w:num>
  <w:num w:numId="5">
    <w:abstractNumId w:val="12"/>
  </w:num>
  <w:num w:numId="6">
    <w:abstractNumId w:val="17"/>
  </w:num>
  <w:num w:numId="7">
    <w:abstractNumId w:val="1"/>
  </w:num>
  <w:num w:numId="8">
    <w:abstractNumId w:val="22"/>
  </w:num>
  <w:num w:numId="9">
    <w:abstractNumId w:val="2"/>
  </w:num>
  <w:num w:numId="10">
    <w:abstractNumId w:val="8"/>
  </w:num>
  <w:num w:numId="11">
    <w:abstractNumId w:val="4"/>
  </w:num>
  <w:num w:numId="12">
    <w:abstractNumId w:val="18"/>
  </w:num>
  <w:num w:numId="13">
    <w:abstractNumId w:val="5"/>
  </w:num>
  <w:num w:numId="14">
    <w:abstractNumId w:val="15"/>
  </w:num>
  <w:num w:numId="15">
    <w:abstractNumId w:val="25"/>
  </w:num>
  <w:num w:numId="16">
    <w:abstractNumId w:val="21"/>
  </w:num>
  <w:num w:numId="17">
    <w:abstractNumId w:val="13"/>
  </w:num>
  <w:num w:numId="18">
    <w:abstractNumId w:val="7"/>
  </w:num>
  <w:num w:numId="19">
    <w:abstractNumId w:val="26"/>
  </w:num>
  <w:num w:numId="20">
    <w:abstractNumId w:val="24"/>
  </w:num>
  <w:num w:numId="21">
    <w:abstractNumId w:val="11"/>
  </w:num>
  <w:num w:numId="22">
    <w:abstractNumId w:val="23"/>
  </w:num>
  <w:num w:numId="23">
    <w:abstractNumId w:val="5"/>
  </w:num>
  <w:num w:numId="24">
    <w:abstractNumId w:val="6"/>
  </w:num>
  <w:num w:numId="25">
    <w:abstractNumId w:val="9"/>
  </w:num>
  <w:num w:numId="26">
    <w:abstractNumId w:val="10"/>
  </w:num>
  <w:num w:numId="27">
    <w:abstractNumId w:val="20"/>
  </w:num>
  <w:num w:numId="28">
    <w:abstractNumId w:val="0"/>
  </w:num>
  <w:num w:numId="29">
    <w:abstractNumId w:val="11"/>
  </w:num>
  <w:num w:numId="30">
    <w:abstractNumId w:val="10"/>
  </w:num>
  <w:num w:numId="31">
    <w:abstractNumId w:val="20"/>
  </w:num>
  <w:num w:numId="32">
    <w:abstractNumId w:val="0"/>
  </w:num>
  <w:num w:numId="33">
    <w:abstractNumId w:val="23"/>
  </w:num>
  <w:num w:numId="34">
    <w:abstractNumId w:val="5"/>
  </w:num>
  <w:num w:numId="35">
    <w:abstractNumId w:val="6"/>
  </w:num>
  <w:num w:numId="36">
    <w:abstractNumId w:val="9"/>
  </w:num>
  <w:num w:numId="37">
    <w:abstractNumId w:val="11"/>
  </w:num>
  <w:num w:numId="38">
    <w:abstractNumId w:val="20"/>
  </w:num>
  <w:num w:numId="39">
    <w:abstractNumId w:val="23"/>
  </w:num>
  <w:num w:numId="40">
    <w:abstractNumId w:val="5"/>
  </w:num>
  <w:num w:numId="41">
    <w:abstractNumId w:val="6"/>
  </w:num>
  <w:num w:numId="42">
    <w:abstractNumId w:val="9"/>
  </w:num>
  <w:num w:numId="4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BB5"/>
    <w:rsid w:val="00000757"/>
    <w:rsid w:val="00001D5B"/>
    <w:rsid w:val="00005979"/>
    <w:rsid w:val="000115A8"/>
    <w:rsid w:val="0001209A"/>
    <w:rsid w:val="00015C1D"/>
    <w:rsid w:val="00021DFF"/>
    <w:rsid w:val="00022EE4"/>
    <w:rsid w:val="00024634"/>
    <w:rsid w:val="0002642B"/>
    <w:rsid w:val="000345BB"/>
    <w:rsid w:val="00035087"/>
    <w:rsid w:val="000411F8"/>
    <w:rsid w:val="00046F86"/>
    <w:rsid w:val="00062B2D"/>
    <w:rsid w:val="00063C06"/>
    <w:rsid w:val="00064B46"/>
    <w:rsid w:val="00065172"/>
    <w:rsid w:val="000709D5"/>
    <w:rsid w:val="00072BD1"/>
    <w:rsid w:val="000743F4"/>
    <w:rsid w:val="000777EA"/>
    <w:rsid w:val="000817F3"/>
    <w:rsid w:val="00081FFF"/>
    <w:rsid w:val="00090DF0"/>
    <w:rsid w:val="00094A5D"/>
    <w:rsid w:val="000A3567"/>
    <w:rsid w:val="000B053A"/>
    <w:rsid w:val="000B1BE1"/>
    <w:rsid w:val="000B3BFD"/>
    <w:rsid w:val="000B59DB"/>
    <w:rsid w:val="000B696F"/>
    <w:rsid w:val="000B7A5A"/>
    <w:rsid w:val="000C5FBD"/>
    <w:rsid w:val="000C64B7"/>
    <w:rsid w:val="000C7281"/>
    <w:rsid w:val="000C7542"/>
    <w:rsid w:val="000E49E5"/>
    <w:rsid w:val="000E7588"/>
    <w:rsid w:val="000F240E"/>
    <w:rsid w:val="0010296A"/>
    <w:rsid w:val="00104C2E"/>
    <w:rsid w:val="00105267"/>
    <w:rsid w:val="001064A3"/>
    <w:rsid w:val="00107A2A"/>
    <w:rsid w:val="0011737F"/>
    <w:rsid w:val="0012147D"/>
    <w:rsid w:val="00125E64"/>
    <w:rsid w:val="001268FA"/>
    <w:rsid w:val="0013008C"/>
    <w:rsid w:val="00130655"/>
    <w:rsid w:val="00133F9D"/>
    <w:rsid w:val="00147922"/>
    <w:rsid w:val="00155EFD"/>
    <w:rsid w:val="00156474"/>
    <w:rsid w:val="001613D2"/>
    <w:rsid w:val="00165B50"/>
    <w:rsid w:val="00173CCF"/>
    <w:rsid w:val="00175FF1"/>
    <w:rsid w:val="00181E1C"/>
    <w:rsid w:val="00182681"/>
    <w:rsid w:val="001842C3"/>
    <w:rsid w:val="00191E71"/>
    <w:rsid w:val="001930CF"/>
    <w:rsid w:val="001940DA"/>
    <w:rsid w:val="00195EAA"/>
    <w:rsid w:val="0019694E"/>
    <w:rsid w:val="00197188"/>
    <w:rsid w:val="001A04FC"/>
    <w:rsid w:val="001A4230"/>
    <w:rsid w:val="001B3E0D"/>
    <w:rsid w:val="001B49F1"/>
    <w:rsid w:val="001B639D"/>
    <w:rsid w:val="001B7AB5"/>
    <w:rsid w:val="001C27CF"/>
    <w:rsid w:val="001D0EE5"/>
    <w:rsid w:val="001E1E5B"/>
    <w:rsid w:val="001E257F"/>
    <w:rsid w:val="001E2C30"/>
    <w:rsid w:val="001E65EA"/>
    <w:rsid w:val="001E6A25"/>
    <w:rsid w:val="001F0AD0"/>
    <w:rsid w:val="001F3889"/>
    <w:rsid w:val="001F39DA"/>
    <w:rsid w:val="001F3F24"/>
    <w:rsid w:val="001F6C84"/>
    <w:rsid w:val="001F6EDC"/>
    <w:rsid w:val="002017CD"/>
    <w:rsid w:val="00201B2E"/>
    <w:rsid w:val="00202829"/>
    <w:rsid w:val="00203A9C"/>
    <w:rsid w:val="0020457C"/>
    <w:rsid w:val="00204A04"/>
    <w:rsid w:val="00205042"/>
    <w:rsid w:val="002056DA"/>
    <w:rsid w:val="00212558"/>
    <w:rsid w:val="00214091"/>
    <w:rsid w:val="00216BE4"/>
    <w:rsid w:val="00221330"/>
    <w:rsid w:val="00224774"/>
    <w:rsid w:val="002316DD"/>
    <w:rsid w:val="00232F76"/>
    <w:rsid w:val="0023569C"/>
    <w:rsid w:val="00237C60"/>
    <w:rsid w:val="00240B4B"/>
    <w:rsid w:val="0024583C"/>
    <w:rsid w:val="0024777D"/>
    <w:rsid w:val="00247956"/>
    <w:rsid w:val="002503C9"/>
    <w:rsid w:val="0025041F"/>
    <w:rsid w:val="002517E0"/>
    <w:rsid w:val="00260721"/>
    <w:rsid w:val="00260C84"/>
    <w:rsid w:val="00260CE8"/>
    <w:rsid w:val="002620DF"/>
    <w:rsid w:val="00262745"/>
    <w:rsid w:val="00263160"/>
    <w:rsid w:val="00263422"/>
    <w:rsid w:val="0026396C"/>
    <w:rsid w:val="00264B5D"/>
    <w:rsid w:val="00267222"/>
    <w:rsid w:val="00271FB1"/>
    <w:rsid w:val="00273B07"/>
    <w:rsid w:val="002811E0"/>
    <w:rsid w:val="00284D2E"/>
    <w:rsid w:val="00285854"/>
    <w:rsid w:val="00286A19"/>
    <w:rsid w:val="002909C3"/>
    <w:rsid w:val="00290EFF"/>
    <w:rsid w:val="002914B5"/>
    <w:rsid w:val="002928DA"/>
    <w:rsid w:val="0029390F"/>
    <w:rsid w:val="00293E26"/>
    <w:rsid w:val="002965C8"/>
    <w:rsid w:val="0029663E"/>
    <w:rsid w:val="002976C6"/>
    <w:rsid w:val="002A03A1"/>
    <w:rsid w:val="002A13AB"/>
    <w:rsid w:val="002A1661"/>
    <w:rsid w:val="002A1A2E"/>
    <w:rsid w:val="002A655F"/>
    <w:rsid w:val="002B0108"/>
    <w:rsid w:val="002B150A"/>
    <w:rsid w:val="002B2E68"/>
    <w:rsid w:val="002B328E"/>
    <w:rsid w:val="002B421F"/>
    <w:rsid w:val="002B5531"/>
    <w:rsid w:val="002B5D0A"/>
    <w:rsid w:val="002C5E6F"/>
    <w:rsid w:val="002D4A29"/>
    <w:rsid w:val="002E2169"/>
    <w:rsid w:val="002E4910"/>
    <w:rsid w:val="002E5457"/>
    <w:rsid w:val="002F601B"/>
    <w:rsid w:val="002F7892"/>
    <w:rsid w:val="00302A8A"/>
    <w:rsid w:val="00302AA1"/>
    <w:rsid w:val="0030459A"/>
    <w:rsid w:val="003054EA"/>
    <w:rsid w:val="00305865"/>
    <w:rsid w:val="00306C75"/>
    <w:rsid w:val="00307266"/>
    <w:rsid w:val="00307418"/>
    <w:rsid w:val="003100DD"/>
    <w:rsid w:val="00314FF5"/>
    <w:rsid w:val="003167CD"/>
    <w:rsid w:val="00316C3F"/>
    <w:rsid w:val="00322147"/>
    <w:rsid w:val="00323274"/>
    <w:rsid w:val="003236E4"/>
    <w:rsid w:val="00323E46"/>
    <w:rsid w:val="00326E21"/>
    <w:rsid w:val="00326E55"/>
    <w:rsid w:val="00332B21"/>
    <w:rsid w:val="003341D6"/>
    <w:rsid w:val="0033582C"/>
    <w:rsid w:val="00335A46"/>
    <w:rsid w:val="003378B1"/>
    <w:rsid w:val="003404C8"/>
    <w:rsid w:val="00343808"/>
    <w:rsid w:val="00343D3B"/>
    <w:rsid w:val="00344597"/>
    <w:rsid w:val="00347925"/>
    <w:rsid w:val="00351ACA"/>
    <w:rsid w:val="0035686A"/>
    <w:rsid w:val="00366821"/>
    <w:rsid w:val="00367519"/>
    <w:rsid w:val="0037271F"/>
    <w:rsid w:val="0037341E"/>
    <w:rsid w:val="00374627"/>
    <w:rsid w:val="00374E6E"/>
    <w:rsid w:val="00382DA2"/>
    <w:rsid w:val="00385498"/>
    <w:rsid w:val="00386021"/>
    <w:rsid w:val="00395D0C"/>
    <w:rsid w:val="003966D6"/>
    <w:rsid w:val="0039676E"/>
    <w:rsid w:val="003A153A"/>
    <w:rsid w:val="003A4716"/>
    <w:rsid w:val="003A4C1F"/>
    <w:rsid w:val="003B02DF"/>
    <w:rsid w:val="003B0D02"/>
    <w:rsid w:val="003B16A0"/>
    <w:rsid w:val="003B2887"/>
    <w:rsid w:val="003B5119"/>
    <w:rsid w:val="003B5363"/>
    <w:rsid w:val="003B558F"/>
    <w:rsid w:val="003C2837"/>
    <w:rsid w:val="003C2952"/>
    <w:rsid w:val="003C31E6"/>
    <w:rsid w:val="003C4B94"/>
    <w:rsid w:val="003D0BEE"/>
    <w:rsid w:val="003E12DD"/>
    <w:rsid w:val="003F0BB5"/>
    <w:rsid w:val="003F0F73"/>
    <w:rsid w:val="003F3A5A"/>
    <w:rsid w:val="003F798F"/>
    <w:rsid w:val="00405526"/>
    <w:rsid w:val="00405594"/>
    <w:rsid w:val="00407583"/>
    <w:rsid w:val="00412DA2"/>
    <w:rsid w:val="0041646A"/>
    <w:rsid w:val="00417236"/>
    <w:rsid w:val="00420DC6"/>
    <w:rsid w:val="0042130D"/>
    <w:rsid w:val="00421D84"/>
    <w:rsid w:val="00422460"/>
    <w:rsid w:val="00423EAF"/>
    <w:rsid w:val="00424C43"/>
    <w:rsid w:val="0042679E"/>
    <w:rsid w:val="004267BF"/>
    <w:rsid w:val="0043168F"/>
    <w:rsid w:val="0043234B"/>
    <w:rsid w:val="00435021"/>
    <w:rsid w:val="00440EA0"/>
    <w:rsid w:val="004415CB"/>
    <w:rsid w:val="00446DED"/>
    <w:rsid w:val="00447A79"/>
    <w:rsid w:val="0045238A"/>
    <w:rsid w:val="004539CE"/>
    <w:rsid w:val="00454B85"/>
    <w:rsid w:val="00464374"/>
    <w:rsid w:val="00467028"/>
    <w:rsid w:val="00473308"/>
    <w:rsid w:val="00473D71"/>
    <w:rsid w:val="00483158"/>
    <w:rsid w:val="00483DC1"/>
    <w:rsid w:val="0048715E"/>
    <w:rsid w:val="0048770D"/>
    <w:rsid w:val="004904B9"/>
    <w:rsid w:val="00491479"/>
    <w:rsid w:val="004928B4"/>
    <w:rsid w:val="004934C0"/>
    <w:rsid w:val="00494205"/>
    <w:rsid w:val="004A033C"/>
    <w:rsid w:val="004A2125"/>
    <w:rsid w:val="004A2426"/>
    <w:rsid w:val="004A2A49"/>
    <w:rsid w:val="004A4070"/>
    <w:rsid w:val="004B133D"/>
    <w:rsid w:val="004B163B"/>
    <w:rsid w:val="004B3B47"/>
    <w:rsid w:val="004C3A87"/>
    <w:rsid w:val="004C60B3"/>
    <w:rsid w:val="004C7450"/>
    <w:rsid w:val="004C74E9"/>
    <w:rsid w:val="004C7EF4"/>
    <w:rsid w:val="004D67FA"/>
    <w:rsid w:val="004E29B3"/>
    <w:rsid w:val="004E2A07"/>
    <w:rsid w:val="004E4316"/>
    <w:rsid w:val="004E5B70"/>
    <w:rsid w:val="004F2C24"/>
    <w:rsid w:val="004F3A98"/>
    <w:rsid w:val="004F445C"/>
    <w:rsid w:val="004F5B73"/>
    <w:rsid w:val="005025A1"/>
    <w:rsid w:val="00503484"/>
    <w:rsid w:val="00503FC4"/>
    <w:rsid w:val="0050484D"/>
    <w:rsid w:val="00506EB0"/>
    <w:rsid w:val="00515B2F"/>
    <w:rsid w:val="005247D3"/>
    <w:rsid w:val="005259D2"/>
    <w:rsid w:val="00526160"/>
    <w:rsid w:val="005267F1"/>
    <w:rsid w:val="00526F01"/>
    <w:rsid w:val="0053337B"/>
    <w:rsid w:val="00533647"/>
    <w:rsid w:val="005415F1"/>
    <w:rsid w:val="00541A63"/>
    <w:rsid w:val="005435A9"/>
    <w:rsid w:val="005467AC"/>
    <w:rsid w:val="00550BA2"/>
    <w:rsid w:val="00552183"/>
    <w:rsid w:val="0055306F"/>
    <w:rsid w:val="005532E2"/>
    <w:rsid w:val="00554DF5"/>
    <w:rsid w:val="005564B8"/>
    <w:rsid w:val="00557118"/>
    <w:rsid w:val="00561473"/>
    <w:rsid w:val="00561A2D"/>
    <w:rsid w:val="00565611"/>
    <w:rsid w:val="0056598D"/>
    <w:rsid w:val="00566B3A"/>
    <w:rsid w:val="00572E02"/>
    <w:rsid w:val="005757EB"/>
    <w:rsid w:val="00576418"/>
    <w:rsid w:val="00576B4F"/>
    <w:rsid w:val="00576F6F"/>
    <w:rsid w:val="0058072D"/>
    <w:rsid w:val="005834AD"/>
    <w:rsid w:val="00586D7A"/>
    <w:rsid w:val="00595967"/>
    <w:rsid w:val="005A0902"/>
    <w:rsid w:val="005A0B9A"/>
    <w:rsid w:val="005A1C11"/>
    <w:rsid w:val="005A2D2C"/>
    <w:rsid w:val="005A3D26"/>
    <w:rsid w:val="005A6054"/>
    <w:rsid w:val="005A78C8"/>
    <w:rsid w:val="005A7AEC"/>
    <w:rsid w:val="005B2D18"/>
    <w:rsid w:val="005B750B"/>
    <w:rsid w:val="005C449A"/>
    <w:rsid w:val="005C5FF5"/>
    <w:rsid w:val="005C61DE"/>
    <w:rsid w:val="005C7228"/>
    <w:rsid w:val="005D5132"/>
    <w:rsid w:val="005D56F0"/>
    <w:rsid w:val="005D71E0"/>
    <w:rsid w:val="005E6895"/>
    <w:rsid w:val="005E7442"/>
    <w:rsid w:val="005F013E"/>
    <w:rsid w:val="005F45A7"/>
    <w:rsid w:val="005F4842"/>
    <w:rsid w:val="00604CB4"/>
    <w:rsid w:val="00610688"/>
    <w:rsid w:val="00611439"/>
    <w:rsid w:val="0061581B"/>
    <w:rsid w:val="00616833"/>
    <w:rsid w:val="00620111"/>
    <w:rsid w:val="00620E21"/>
    <w:rsid w:val="0062361A"/>
    <w:rsid w:val="0062486E"/>
    <w:rsid w:val="00633922"/>
    <w:rsid w:val="006432C1"/>
    <w:rsid w:val="0064359D"/>
    <w:rsid w:val="00647488"/>
    <w:rsid w:val="00647524"/>
    <w:rsid w:val="00654E95"/>
    <w:rsid w:val="0065634D"/>
    <w:rsid w:val="00661C10"/>
    <w:rsid w:val="00662EE7"/>
    <w:rsid w:val="00681284"/>
    <w:rsid w:val="00681336"/>
    <w:rsid w:val="00682260"/>
    <w:rsid w:val="00682ECC"/>
    <w:rsid w:val="00683E57"/>
    <w:rsid w:val="00685A7B"/>
    <w:rsid w:val="00687168"/>
    <w:rsid w:val="00687A59"/>
    <w:rsid w:val="00692C94"/>
    <w:rsid w:val="0069384D"/>
    <w:rsid w:val="006944B7"/>
    <w:rsid w:val="00695037"/>
    <w:rsid w:val="006953A4"/>
    <w:rsid w:val="00695D19"/>
    <w:rsid w:val="00696820"/>
    <w:rsid w:val="006A694B"/>
    <w:rsid w:val="006B3026"/>
    <w:rsid w:val="006C0C69"/>
    <w:rsid w:val="006C0D24"/>
    <w:rsid w:val="006C0E06"/>
    <w:rsid w:val="006C3A90"/>
    <w:rsid w:val="006C65A5"/>
    <w:rsid w:val="006C66F3"/>
    <w:rsid w:val="006C7277"/>
    <w:rsid w:val="006C7493"/>
    <w:rsid w:val="006D02EA"/>
    <w:rsid w:val="006D211A"/>
    <w:rsid w:val="006D5ECD"/>
    <w:rsid w:val="006D6B08"/>
    <w:rsid w:val="006E0CCD"/>
    <w:rsid w:val="006E1850"/>
    <w:rsid w:val="006E4509"/>
    <w:rsid w:val="006E510F"/>
    <w:rsid w:val="006E6792"/>
    <w:rsid w:val="006F069C"/>
    <w:rsid w:val="006F3520"/>
    <w:rsid w:val="00705103"/>
    <w:rsid w:val="00705510"/>
    <w:rsid w:val="00712F03"/>
    <w:rsid w:val="0071340A"/>
    <w:rsid w:val="00716329"/>
    <w:rsid w:val="00720F8B"/>
    <w:rsid w:val="0072632B"/>
    <w:rsid w:val="0073176A"/>
    <w:rsid w:val="007350AC"/>
    <w:rsid w:val="00735AC8"/>
    <w:rsid w:val="0073655C"/>
    <w:rsid w:val="00736A66"/>
    <w:rsid w:val="0074401B"/>
    <w:rsid w:val="00744E4B"/>
    <w:rsid w:val="0075057E"/>
    <w:rsid w:val="007506D0"/>
    <w:rsid w:val="00753A2F"/>
    <w:rsid w:val="00755213"/>
    <w:rsid w:val="007604E3"/>
    <w:rsid w:val="00760809"/>
    <w:rsid w:val="00764DA2"/>
    <w:rsid w:val="0076775A"/>
    <w:rsid w:val="00771709"/>
    <w:rsid w:val="007813B0"/>
    <w:rsid w:val="007828BE"/>
    <w:rsid w:val="00791CD5"/>
    <w:rsid w:val="007947DD"/>
    <w:rsid w:val="00794AC1"/>
    <w:rsid w:val="00795FE8"/>
    <w:rsid w:val="007977E5"/>
    <w:rsid w:val="007A113C"/>
    <w:rsid w:val="007A11FC"/>
    <w:rsid w:val="007A20A9"/>
    <w:rsid w:val="007B1350"/>
    <w:rsid w:val="007B17B3"/>
    <w:rsid w:val="007B28A7"/>
    <w:rsid w:val="007C008C"/>
    <w:rsid w:val="007C0218"/>
    <w:rsid w:val="007C463B"/>
    <w:rsid w:val="007C7211"/>
    <w:rsid w:val="007D3982"/>
    <w:rsid w:val="007D51DF"/>
    <w:rsid w:val="007D5856"/>
    <w:rsid w:val="007E10DD"/>
    <w:rsid w:val="007F2796"/>
    <w:rsid w:val="007F3527"/>
    <w:rsid w:val="007F58EB"/>
    <w:rsid w:val="007F5A9B"/>
    <w:rsid w:val="007F5BB0"/>
    <w:rsid w:val="007F728E"/>
    <w:rsid w:val="00802F38"/>
    <w:rsid w:val="00805932"/>
    <w:rsid w:val="008063C3"/>
    <w:rsid w:val="008165C9"/>
    <w:rsid w:val="008168F8"/>
    <w:rsid w:val="0082042D"/>
    <w:rsid w:val="00821317"/>
    <w:rsid w:val="0082510C"/>
    <w:rsid w:val="0084310E"/>
    <w:rsid w:val="00843E72"/>
    <w:rsid w:val="008440AC"/>
    <w:rsid w:val="00845D7F"/>
    <w:rsid w:val="00850DF7"/>
    <w:rsid w:val="0085298A"/>
    <w:rsid w:val="0085670E"/>
    <w:rsid w:val="008569DA"/>
    <w:rsid w:val="00860BF5"/>
    <w:rsid w:val="00863523"/>
    <w:rsid w:val="00863E57"/>
    <w:rsid w:val="00863E91"/>
    <w:rsid w:val="008732F8"/>
    <w:rsid w:val="008764BE"/>
    <w:rsid w:val="008769A4"/>
    <w:rsid w:val="00876D37"/>
    <w:rsid w:val="00890FD2"/>
    <w:rsid w:val="00893553"/>
    <w:rsid w:val="008943B6"/>
    <w:rsid w:val="00897A4D"/>
    <w:rsid w:val="008A3EBB"/>
    <w:rsid w:val="008A52D3"/>
    <w:rsid w:val="008A7E15"/>
    <w:rsid w:val="008B1225"/>
    <w:rsid w:val="008B4561"/>
    <w:rsid w:val="008B7A34"/>
    <w:rsid w:val="008C1DE9"/>
    <w:rsid w:val="008C21CA"/>
    <w:rsid w:val="008D1A32"/>
    <w:rsid w:val="008D40BA"/>
    <w:rsid w:val="008D414D"/>
    <w:rsid w:val="008E0780"/>
    <w:rsid w:val="008E12C4"/>
    <w:rsid w:val="008E201D"/>
    <w:rsid w:val="008E3390"/>
    <w:rsid w:val="008E52C3"/>
    <w:rsid w:val="008E7049"/>
    <w:rsid w:val="008E73DA"/>
    <w:rsid w:val="008F043D"/>
    <w:rsid w:val="008F7A5E"/>
    <w:rsid w:val="00902F90"/>
    <w:rsid w:val="00904DBC"/>
    <w:rsid w:val="009053E2"/>
    <w:rsid w:val="009154A1"/>
    <w:rsid w:val="00915EE1"/>
    <w:rsid w:val="00916741"/>
    <w:rsid w:val="0091753B"/>
    <w:rsid w:val="00926371"/>
    <w:rsid w:val="009335C8"/>
    <w:rsid w:val="00933DB2"/>
    <w:rsid w:val="009411F2"/>
    <w:rsid w:val="0094183B"/>
    <w:rsid w:val="009445B6"/>
    <w:rsid w:val="0094530F"/>
    <w:rsid w:val="00946CF9"/>
    <w:rsid w:val="00952180"/>
    <w:rsid w:val="0095227A"/>
    <w:rsid w:val="00952D4A"/>
    <w:rsid w:val="00957E2F"/>
    <w:rsid w:val="00966E8A"/>
    <w:rsid w:val="009717DB"/>
    <w:rsid w:val="00975574"/>
    <w:rsid w:val="00977056"/>
    <w:rsid w:val="0098394A"/>
    <w:rsid w:val="0098495F"/>
    <w:rsid w:val="0098543E"/>
    <w:rsid w:val="00985B83"/>
    <w:rsid w:val="00986F99"/>
    <w:rsid w:val="00994B85"/>
    <w:rsid w:val="00996031"/>
    <w:rsid w:val="00996619"/>
    <w:rsid w:val="009A1C04"/>
    <w:rsid w:val="009A36C9"/>
    <w:rsid w:val="009A4678"/>
    <w:rsid w:val="009A4765"/>
    <w:rsid w:val="009B2935"/>
    <w:rsid w:val="009C688A"/>
    <w:rsid w:val="009D01D6"/>
    <w:rsid w:val="009D39C5"/>
    <w:rsid w:val="009E2D83"/>
    <w:rsid w:val="009E3EB9"/>
    <w:rsid w:val="009E422E"/>
    <w:rsid w:val="009E57A7"/>
    <w:rsid w:val="009F0EAC"/>
    <w:rsid w:val="009F349E"/>
    <w:rsid w:val="009F3DC4"/>
    <w:rsid w:val="009F47B6"/>
    <w:rsid w:val="009F5BE7"/>
    <w:rsid w:val="00A05559"/>
    <w:rsid w:val="00A10996"/>
    <w:rsid w:val="00A11154"/>
    <w:rsid w:val="00A119A3"/>
    <w:rsid w:val="00A16BC5"/>
    <w:rsid w:val="00A20CD1"/>
    <w:rsid w:val="00A2278C"/>
    <w:rsid w:val="00A2314A"/>
    <w:rsid w:val="00A235DD"/>
    <w:rsid w:val="00A26238"/>
    <w:rsid w:val="00A30173"/>
    <w:rsid w:val="00A32D12"/>
    <w:rsid w:val="00A36068"/>
    <w:rsid w:val="00A36449"/>
    <w:rsid w:val="00A37BD3"/>
    <w:rsid w:val="00A37C22"/>
    <w:rsid w:val="00A40DFD"/>
    <w:rsid w:val="00A46610"/>
    <w:rsid w:val="00A46780"/>
    <w:rsid w:val="00A46B2E"/>
    <w:rsid w:val="00A46DC7"/>
    <w:rsid w:val="00A47360"/>
    <w:rsid w:val="00A50C83"/>
    <w:rsid w:val="00A53313"/>
    <w:rsid w:val="00A541B6"/>
    <w:rsid w:val="00A56BDB"/>
    <w:rsid w:val="00A634E9"/>
    <w:rsid w:val="00A63DE3"/>
    <w:rsid w:val="00A73E61"/>
    <w:rsid w:val="00A75CDD"/>
    <w:rsid w:val="00A84015"/>
    <w:rsid w:val="00A848B3"/>
    <w:rsid w:val="00A87870"/>
    <w:rsid w:val="00A9351F"/>
    <w:rsid w:val="00A9516C"/>
    <w:rsid w:val="00AA1202"/>
    <w:rsid w:val="00AA5896"/>
    <w:rsid w:val="00AA6762"/>
    <w:rsid w:val="00AB0517"/>
    <w:rsid w:val="00AB1320"/>
    <w:rsid w:val="00AB1638"/>
    <w:rsid w:val="00AB5153"/>
    <w:rsid w:val="00AB6A56"/>
    <w:rsid w:val="00AB791A"/>
    <w:rsid w:val="00AC7C5D"/>
    <w:rsid w:val="00AD0DA2"/>
    <w:rsid w:val="00AD5341"/>
    <w:rsid w:val="00AE0635"/>
    <w:rsid w:val="00AE1690"/>
    <w:rsid w:val="00AE3D80"/>
    <w:rsid w:val="00AE76C9"/>
    <w:rsid w:val="00AF00EC"/>
    <w:rsid w:val="00AF1BB8"/>
    <w:rsid w:val="00AF4056"/>
    <w:rsid w:val="00AF52CD"/>
    <w:rsid w:val="00AF7B54"/>
    <w:rsid w:val="00B0132B"/>
    <w:rsid w:val="00B01515"/>
    <w:rsid w:val="00B027F5"/>
    <w:rsid w:val="00B02ECC"/>
    <w:rsid w:val="00B0406A"/>
    <w:rsid w:val="00B11B16"/>
    <w:rsid w:val="00B12414"/>
    <w:rsid w:val="00B1758C"/>
    <w:rsid w:val="00B23312"/>
    <w:rsid w:val="00B32769"/>
    <w:rsid w:val="00B32FB3"/>
    <w:rsid w:val="00B468B3"/>
    <w:rsid w:val="00B4710C"/>
    <w:rsid w:val="00B50330"/>
    <w:rsid w:val="00B50BF7"/>
    <w:rsid w:val="00B545C6"/>
    <w:rsid w:val="00B56754"/>
    <w:rsid w:val="00B60BB9"/>
    <w:rsid w:val="00B6440F"/>
    <w:rsid w:val="00B716D4"/>
    <w:rsid w:val="00B7204D"/>
    <w:rsid w:val="00B72C6B"/>
    <w:rsid w:val="00B87F98"/>
    <w:rsid w:val="00BA4338"/>
    <w:rsid w:val="00BA7667"/>
    <w:rsid w:val="00BB1760"/>
    <w:rsid w:val="00BB2303"/>
    <w:rsid w:val="00BC6ACC"/>
    <w:rsid w:val="00BD5265"/>
    <w:rsid w:val="00BD610A"/>
    <w:rsid w:val="00BE5986"/>
    <w:rsid w:val="00BF0D48"/>
    <w:rsid w:val="00BF5443"/>
    <w:rsid w:val="00C00098"/>
    <w:rsid w:val="00C010AD"/>
    <w:rsid w:val="00C01187"/>
    <w:rsid w:val="00C03D63"/>
    <w:rsid w:val="00C0475A"/>
    <w:rsid w:val="00C057BC"/>
    <w:rsid w:val="00C05CBE"/>
    <w:rsid w:val="00C06832"/>
    <w:rsid w:val="00C077CE"/>
    <w:rsid w:val="00C150BE"/>
    <w:rsid w:val="00C15AD2"/>
    <w:rsid w:val="00C219C0"/>
    <w:rsid w:val="00C31752"/>
    <w:rsid w:val="00C31DE1"/>
    <w:rsid w:val="00C42BA6"/>
    <w:rsid w:val="00C45E5C"/>
    <w:rsid w:val="00C45EBF"/>
    <w:rsid w:val="00C50C24"/>
    <w:rsid w:val="00C64975"/>
    <w:rsid w:val="00C70667"/>
    <w:rsid w:val="00C71E73"/>
    <w:rsid w:val="00C763B8"/>
    <w:rsid w:val="00C82D23"/>
    <w:rsid w:val="00C84083"/>
    <w:rsid w:val="00C8465C"/>
    <w:rsid w:val="00C87AFE"/>
    <w:rsid w:val="00C9496C"/>
    <w:rsid w:val="00C966CE"/>
    <w:rsid w:val="00CA156B"/>
    <w:rsid w:val="00CA4F68"/>
    <w:rsid w:val="00CB301E"/>
    <w:rsid w:val="00CB358A"/>
    <w:rsid w:val="00CB367A"/>
    <w:rsid w:val="00CB7911"/>
    <w:rsid w:val="00CB7B6E"/>
    <w:rsid w:val="00CC02B6"/>
    <w:rsid w:val="00CC0C5A"/>
    <w:rsid w:val="00CC0D3E"/>
    <w:rsid w:val="00CC1F68"/>
    <w:rsid w:val="00CC40E9"/>
    <w:rsid w:val="00CD06DF"/>
    <w:rsid w:val="00CD4F59"/>
    <w:rsid w:val="00CD5D91"/>
    <w:rsid w:val="00CD71E5"/>
    <w:rsid w:val="00CE28D6"/>
    <w:rsid w:val="00CE5519"/>
    <w:rsid w:val="00CE5E12"/>
    <w:rsid w:val="00CF33C0"/>
    <w:rsid w:val="00CF7F80"/>
    <w:rsid w:val="00D02D60"/>
    <w:rsid w:val="00D055A8"/>
    <w:rsid w:val="00D067D2"/>
    <w:rsid w:val="00D12F30"/>
    <w:rsid w:val="00D15918"/>
    <w:rsid w:val="00D20C89"/>
    <w:rsid w:val="00D261BF"/>
    <w:rsid w:val="00D264E8"/>
    <w:rsid w:val="00D26A49"/>
    <w:rsid w:val="00D26DA0"/>
    <w:rsid w:val="00D31616"/>
    <w:rsid w:val="00D31BFA"/>
    <w:rsid w:val="00D34CBD"/>
    <w:rsid w:val="00D41B2D"/>
    <w:rsid w:val="00D431D0"/>
    <w:rsid w:val="00D461E4"/>
    <w:rsid w:val="00D529C0"/>
    <w:rsid w:val="00D56A2D"/>
    <w:rsid w:val="00D5776F"/>
    <w:rsid w:val="00D6220E"/>
    <w:rsid w:val="00D714D1"/>
    <w:rsid w:val="00D74651"/>
    <w:rsid w:val="00D77589"/>
    <w:rsid w:val="00D77D2D"/>
    <w:rsid w:val="00D818D5"/>
    <w:rsid w:val="00D82055"/>
    <w:rsid w:val="00D84585"/>
    <w:rsid w:val="00D8752C"/>
    <w:rsid w:val="00D9375E"/>
    <w:rsid w:val="00DA06C8"/>
    <w:rsid w:val="00DA0E6C"/>
    <w:rsid w:val="00DA1316"/>
    <w:rsid w:val="00DA2F71"/>
    <w:rsid w:val="00DA3055"/>
    <w:rsid w:val="00DA4B15"/>
    <w:rsid w:val="00DB7CD3"/>
    <w:rsid w:val="00DC08F7"/>
    <w:rsid w:val="00DC52AC"/>
    <w:rsid w:val="00DD2F7C"/>
    <w:rsid w:val="00DD47C3"/>
    <w:rsid w:val="00DE27DC"/>
    <w:rsid w:val="00DE47B7"/>
    <w:rsid w:val="00DE48C1"/>
    <w:rsid w:val="00DE7390"/>
    <w:rsid w:val="00DF2F88"/>
    <w:rsid w:val="00E10FF6"/>
    <w:rsid w:val="00E12836"/>
    <w:rsid w:val="00E13AB0"/>
    <w:rsid w:val="00E13BE4"/>
    <w:rsid w:val="00E144BD"/>
    <w:rsid w:val="00E152AB"/>
    <w:rsid w:val="00E1645F"/>
    <w:rsid w:val="00E173F0"/>
    <w:rsid w:val="00E1789E"/>
    <w:rsid w:val="00E17E20"/>
    <w:rsid w:val="00E20119"/>
    <w:rsid w:val="00E224AA"/>
    <w:rsid w:val="00E26AAD"/>
    <w:rsid w:val="00E35E2E"/>
    <w:rsid w:val="00E3623E"/>
    <w:rsid w:val="00E376B2"/>
    <w:rsid w:val="00E42DFA"/>
    <w:rsid w:val="00E467B8"/>
    <w:rsid w:val="00E52CB7"/>
    <w:rsid w:val="00E54F50"/>
    <w:rsid w:val="00E553EA"/>
    <w:rsid w:val="00E61CE1"/>
    <w:rsid w:val="00E6271C"/>
    <w:rsid w:val="00E62D02"/>
    <w:rsid w:val="00E63976"/>
    <w:rsid w:val="00E65BF1"/>
    <w:rsid w:val="00E667CE"/>
    <w:rsid w:val="00E669F6"/>
    <w:rsid w:val="00E66B71"/>
    <w:rsid w:val="00E66F3E"/>
    <w:rsid w:val="00E74647"/>
    <w:rsid w:val="00E76DA1"/>
    <w:rsid w:val="00E84C8C"/>
    <w:rsid w:val="00E84D92"/>
    <w:rsid w:val="00E854E6"/>
    <w:rsid w:val="00E85CB4"/>
    <w:rsid w:val="00E90EB7"/>
    <w:rsid w:val="00E91F71"/>
    <w:rsid w:val="00E933F4"/>
    <w:rsid w:val="00E956E8"/>
    <w:rsid w:val="00EA07AD"/>
    <w:rsid w:val="00EA11C4"/>
    <w:rsid w:val="00EA16FE"/>
    <w:rsid w:val="00EA21E8"/>
    <w:rsid w:val="00EA2D60"/>
    <w:rsid w:val="00EA6943"/>
    <w:rsid w:val="00EA7BF1"/>
    <w:rsid w:val="00EB1138"/>
    <w:rsid w:val="00EB44CC"/>
    <w:rsid w:val="00EB4C09"/>
    <w:rsid w:val="00EB7282"/>
    <w:rsid w:val="00EB736A"/>
    <w:rsid w:val="00EC3489"/>
    <w:rsid w:val="00EC4B19"/>
    <w:rsid w:val="00EC4F17"/>
    <w:rsid w:val="00EC5A90"/>
    <w:rsid w:val="00ED43C4"/>
    <w:rsid w:val="00ED7136"/>
    <w:rsid w:val="00EE6512"/>
    <w:rsid w:val="00EF0E69"/>
    <w:rsid w:val="00EF11FF"/>
    <w:rsid w:val="00EF4287"/>
    <w:rsid w:val="00EF4FC3"/>
    <w:rsid w:val="00F037DF"/>
    <w:rsid w:val="00F03B5B"/>
    <w:rsid w:val="00F11169"/>
    <w:rsid w:val="00F11C88"/>
    <w:rsid w:val="00F1262E"/>
    <w:rsid w:val="00F16834"/>
    <w:rsid w:val="00F24586"/>
    <w:rsid w:val="00F27C10"/>
    <w:rsid w:val="00F314D1"/>
    <w:rsid w:val="00F3506D"/>
    <w:rsid w:val="00F3509E"/>
    <w:rsid w:val="00F35150"/>
    <w:rsid w:val="00F3604D"/>
    <w:rsid w:val="00F36825"/>
    <w:rsid w:val="00F37A73"/>
    <w:rsid w:val="00F42E08"/>
    <w:rsid w:val="00F45D66"/>
    <w:rsid w:val="00F50C89"/>
    <w:rsid w:val="00F51C09"/>
    <w:rsid w:val="00F52A30"/>
    <w:rsid w:val="00F52A39"/>
    <w:rsid w:val="00F540A6"/>
    <w:rsid w:val="00F64228"/>
    <w:rsid w:val="00F66E03"/>
    <w:rsid w:val="00F67F9E"/>
    <w:rsid w:val="00F72DD3"/>
    <w:rsid w:val="00F808A5"/>
    <w:rsid w:val="00F81795"/>
    <w:rsid w:val="00F8288E"/>
    <w:rsid w:val="00F83330"/>
    <w:rsid w:val="00F8479F"/>
    <w:rsid w:val="00F85034"/>
    <w:rsid w:val="00F85FFD"/>
    <w:rsid w:val="00F90349"/>
    <w:rsid w:val="00F927C2"/>
    <w:rsid w:val="00F95EA7"/>
    <w:rsid w:val="00F97E53"/>
    <w:rsid w:val="00FA0E4A"/>
    <w:rsid w:val="00FA20FA"/>
    <w:rsid w:val="00FC3FED"/>
    <w:rsid w:val="00FD0CB6"/>
    <w:rsid w:val="00FD10E5"/>
    <w:rsid w:val="00FD57D4"/>
    <w:rsid w:val="00FD600F"/>
    <w:rsid w:val="00FD6113"/>
    <w:rsid w:val="00FE3679"/>
    <w:rsid w:val="00FE3C57"/>
    <w:rsid w:val="00FF10B5"/>
    <w:rsid w:val="00FF3023"/>
    <w:rsid w:val="00FF46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C6835B"/>
  <w15:chartTrackingRefBased/>
  <w15:docId w15:val="{5C940714-AE75-4008-BAE0-EBB1721D2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B46"/>
    <w:pPr>
      <w:spacing w:after="0" w:line="240" w:lineRule="auto"/>
      <w:jc w:val="both"/>
    </w:pPr>
    <w:rPr>
      <w:rFonts w:ascii="Times New Roman" w:eastAsia="Times New Roman" w:hAnsi="Times New Roman" w:cs="Times New Roman"/>
      <w:sz w:val="24"/>
      <w:szCs w:val="24"/>
      <w:lang w:eastAsia="hr-HR"/>
    </w:rPr>
  </w:style>
  <w:style w:type="paragraph" w:styleId="Naslov1">
    <w:name w:val="heading 1"/>
    <w:basedOn w:val="Normal"/>
    <w:link w:val="Naslov1Char"/>
    <w:uiPriority w:val="9"/>
    <w:qFormat/>
    <w:rsid w:val="00E933F4"/>
    <w:pPr>
      <w:spacing w:before="100" w:beforeAutospacing="1" w:after="100" w:afterAutospacing="1"/>
      <w:jc w:val="left"/>
      <w:outlineLvl w:val="0"/>
    </w:pPr>
    <w:rPr>
      <w:b/>
      <w:bCs/>
      <w:kern w:val="36"/>
      <w:sz w:val="48"/>
      <w:szCs w:val="48"/>
    </w:rPr>
  </w:style>
  <w:style w:type="paragraph" w:styleId="Naslov2">
    <w:name w:val="heading 2"/>
    <w:basedOn w:val="Normal"/>
    <w:link w:val="Naslov2Char"/>
    <w:uiPriority w:val="9"/>
    <w:qFormat/>
    <w:rsid w:val="00E933F4"/>
    <w:pPr>
      <w:spacing w:before="100" w:beforeAutospacing="1" w:after="100" w:afterAutospacing="1"/>
      <w:jc w:val="left"/>
      <w:outlineLvl w:val="1"/>
    </w:pPr>
    <w:rPr>
      <w:b/>
      <w:bCs/>
      <w:sz w:val="36"/>
      <w:szCs w:val="3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References,List_Paragraph,Multilevel para_II,List Paragraph1,Ha,List Paragraph (numbered (a)),Use Case List Paragraph,Celula,Tabela,Numbered Paragraph,Main numbered paragraph,Bullets,Numbered List Paragraph,List Paragraph nowy,Liste 1,lp1"/>
    <w:basedOn w:val="Normal"/>
    <w:link w:val="OdlomakpopisaChar"/>
    <w:uiPriority w:val="34"/>
    <w:qFormat/>
    <w:rsid w:val="004E29B3"/>
    <w:pPr>
      <w:ind w:left="720"/>
      <w:contextualSpacing/>
    </w:pPr>
  </w:style>
  <w:style w:type="paragraph" w:styleId="Tekstbalonia">
    <w:name w:val="Balloon Text"/>
    <w:basedOn w:val="Normal"/>
    <w:link w:val="TekstbaloniaChar"/>
    <w:uiPriority w:val="99"/>
    <w:semiHidden/>
    <w:unhideWhenUsed/>
    <w:rsid w:val="00407583"/>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07583"/>
    <w:rPr>
      <w:rFonts w:ascii="Segoe UI" w:eastAsia="Times New Roman" w:hAnsi="Segoe UI" w:cs="Segoe UI"/>
      <w:sz w:val="18"/>
      <w:szCs w:val="18"/>
      <w:lang w:eastAsia="hr-HR"/>
    </w:rPr>
  </w:style>
  <w:style w:type="table" w:styleId="Reetkatablice">
    <w:name w:val="Table Grid"/>
    <w:basedOn w:val="Obinatablica"/>
    <w:uiPriority w:val="39"/>
    <w:rsid w:val="00C7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uiPriority w:val="9"/>
    <w:rsid w:val="00E933F4"/>
    <w:rPr>
      <w:rFonts w:ascii="Times New Roman" w:eastAsia="Times New Roman" w:hAnsi="Times New Roman" w:cs="Times New Roman"/>
      <w:b/>
      <w:bCs/>
      <w:kern w:val="36"/>
      <w:sz w:val="48"/>
      <w:szCs w:val="48"/>
      <w:lang w:eastAsia="hr-HR"/>
    </w:rPr>
  </w:style>
  <w:style w:type="character" w:customStyle="1" w:styleId="Naslov2Char">
    <w:name w:val="Naslov 2 Char"/>
    <w:basedOn w:val="Zadanifontodlomka"/>
    <w:link w:val="Naslov2"/>
    <w:uiPriority w:val="9"/>
    <w:rsid w:val="00E933F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E933F4"/>
    <w:rPr>
      <w:color w:val="0000FF"/>
      <w:u w:val="single"/>
    </w:rPr>
  </w:style>
  <w:style w:type="paragraph" w:styleId="z-vrhobrasca">
    <w:name w:val="HTML Top of Form"/>
    <w:basedOn w:val="Normal"/>
    <w:next w:val="Normal"/>
    <w:link w:val="z-vrhobrascaChar"/>
    <w:hidden/>
    <w:uiPriority w:val="99"/>
    <w:semiHidden/>
    <w:unhideWhenUsed/>
    <w:rsid w:val="00E933F4"/>
    <w:pPr>
      <w:pBdr>
        <w:bottom w:val="single" w:sz="6" w:space="1" w:color="auto"/>
      </w:pBdr>
      <w:jc w:val="center"/>
    </w:pPr>
    <w:rPr>
      <w:rFonts w:ascii="Arial" w:hAnsi="Arial" w:cs="Arial"/>
      <w:vanish/>
      <w:sz w:val="16"/>
      <w:szCs w:val="16"/>
    </w:rPr>
  </w:style>
  <w:style w:type="character" w:customStyle="1" w:styleId="z-vrhobrascaChar">
    <w:name w:val="z-vrh obrasca Char"/>
    <w:basedOn w:val="Zadanifontodlomka"/>
    <w:link w:val="z-vrhobrasca"/>
    <w:uiPriority w:val="99"/>
    <w:semiHidden/>
    <w:rsid w:val="00E933F4"/>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uiPriority w:val="99"/>
    <w:semiHidden/>
    <w:unhideWhenUsed/>
    <w:rsid w:val="00E933F4"/>
    <w:pPr>
      <w:pBdr>
        <w:top w:val="single" w:sz="6" w:space="1" w:color="auto"/>
      </w:pBdr>
      <w:jc w:val="center"/>
    </w:pPr>
    <w:rPr>
      <w:rFonts w:ascii="Arial" w:hAnsi="Arial" w:cs="Arial"/>
      <w:vanish/>
      <w:sz w:val="16"/>
      <w:szCs w:val="16"/>
    </w:rPr>
  </w:style>
  <w:style w:type="character" w:customStyle="1" w:styleId="z-dnoobrascaChar">
    <w:name w:val="z-dno obrasca Char"/>
    <w:basedOn w:val="Zadanifontodlomka"/>
    <w:link w:val="z-dnoobrasca"/>
    <w:uiPriority w:val="99"/>
    <w:semiHidden/>
    <w:rsid w:val="00E933F4"/>
    <w:rPr>
      <w:rFonts w:ascii="Arial" w:eastAsia="Times New Roman" w:hAnsi="Arial" w:cs="Arial"/>
      <w:vanish/>
      <w:sz w:val="16"/>
      <w:szCs w:val="16"/>
      <w:lang w:eastAsia="hr-HR"/>
    </w:rPr>
  </w:style>
  <w:style w:type="paragraph" w:styleId="StandardWeb">
    <w:name w:val="Normal (Web)"/>
    <w:basedOn w:val="Normal"/>
    <w:uiPriority w:val="99"/>
    <w:unhideWhenUsed/>
    <w:rsid w:val="00E933F4"/>
    <w:pPr>
      <w:spacing w:before="100" w:beforeAutospacing="1" w:after="100" w:afterAutospacing="1"/>
      <w:jc w:val="left"/>
    </w:pPr>
  </w:style>
  <w:style w:type="character" w:styleId="Naglaeno">
    <w:name w:val="Strong"/>
    <w:basedOn w:val="Zadanifontodlomka"/>
    <w:uiPriority w:val="22"/>
    <w:qFormat/>
    <w:rsid w:val="00E933F4"/>
    <w:rPr>
      <w:b/>
      <w:bCs/>
    </w:rPr>
  </w:style>
  <w:style w:type="paragraph" w:customStyle="1" w:styleId="box473814">
    <w:name w:val="box_473814"/>
    <w:basedOn w:val="Normal"/>
    <w:rsid w:val="00696820"/>
    <w:pPr>
      <w:spacing w:before="100" w:beforeAutospacing="1" w:after="100" w:afterAutospacing="1"/>
      <w:jc w:val="left"/>
    </w:pPr>
  </w:style>
  <w:style w:type="character" w:customStyle="1" w:styleId="OdlomakpopisaChar">
    <w:name w:val="Odlomak popisa Char"/>
    <w:aliases w:val="References Char,List_Paragraph Char,Multilevel para_II Char,List Paragraph1 Char,Ha Char,List Paragraph (numbered (a)) Char,Use Case List Paragraph Char,Celula Char,Tabela Char,Numbered Paragraph Char,Main numbered paragraph Char"/>
    <w:basedOn w:val="Zadanifontodlomka"/>
    <w:link w:val="Odlomakpopisa"/>
    <w:uiPriority w:val="34"/>
    <w:qFormat/>
    <w:locked/>
    <w:rsid w:val="00696820"/>
    <w:rPr>
      <w:rFonts w:ascii="Times New Roman" w:eastAsia="Times New Roman" w:hAnsi="Times New Roman" w:cs="Times New Roman"/>
      <w:sz w:val="24"/>
      <w:szCs w:val="24"/>
      <w:lang w:eastAsia="hr-HR"/>
    </w:rPr>
  </w:style>
  <w:style w:type="paragraph" w:customStyle="1" w:styleId="box474720">
    <w:name w:val="box_474720"/>
    <w:basedOn w:val="Normal"/>
    <w:rsid w:val="00696820"/>
    <w:pPr>
      <w:spacing w:before="100" w:beforeAutospacing="1" w:after="100" w:afterAutospacing="1"/>
      <w:jc w:val="left"/>
    </w:pPr>
  </w:style>
  <w:style w:type="paragraph" w:customStyle="1" w:styleId="box474799">
    <w:name w:val="box_474799"/>
    <w:basedOn w:val="Normal"/>
    <w:rsid w:val="00696820"/>
    <w:pPr>
      <w:spacing w:before="100" w:beforeAutospacing="1" w:after="100" w:afterAutospacing="1"/>
      <w:jc w:val="left"/>
    </w:pPr>
  </w:style>
  <w:style w:type="character" w:styleId="Referencakomentara">
    <w:name w:val="annotation reference"/>
    <w:basedOn w:val="Zadanifontodlomka"/>
    <w:uiPriority w:val="99"/>
    <w:semiHidden/>
    <w:unhideWhenUsed/>
    <w:rsid w:val="00423EAF"/>
    <w:rPr>
      <w:sz w:val="16"/>
      <w:szCs w:val="16"/>
    </w:rPr>
  </w:style>
  <w:style w:type="paragraph" w:styleId="Tekstkomentara">
    <w:name w:val="annotation text"/>
    <w:basedOn w:val="Normal"/>
    <w:link w:val="TekstkomentaraChar"/>
    <w:uiPriority w:val="99"/>
    <w:semiHidden/>
    <w:unhideWhenUsed/>
    <w:rsid w:val="00423EAF"/>
    <w:rPr>
      <w:sz w:val="20"/>
      <w:szCs w:val="20"/>
    </w:rPr>
  </w:style>
  <w:style w:type="character" w:customStyle="1" w:styleId="TekstkomentaraChar">
    <w:name w:val="Tekst komentara Char"/>
    <w:basedOn w:val="Zadanifontodlomka"/>
    <w:link w:val="Tekstkomentara"/>
    <w:uiPriority w:val="99"/>
    <w:semiHidden/>
    <w:rsid w:val="00423EAF"/>
    <w:rPr>
      <w:rFonts w:ascii="Times New Roman" w:eastAsia="Times New Roman" w:hAnsi="Times New Roman" w:cs="Times New Roman"/>
      <w:sz w:val="20"/>
      <w:szCs w:val="20"/>
      <w:lang w:eastAsia="hr-HR"/>
    </w:rPr>
  </w:style>
  <w:style w:type="paragraph" w:customStyle="1" w:styleId="box473807">
    <w:name w:val="box_473807"/>
    <w:basedOn w:val="Normal"/>
    <w:rsid w:val="00423EAF"/>
    <w:pPr>
      <w:spacing w:before="100" w:beforeAutospacing="1" w:after="100" w:afterAutospacing="1"/>
      <w:jc w:val="left"/>
    </w:pPr>
  </w:style>
  <w:style w:type="paragraph" w:customStyle="1" w:styleId="box473824">
    <w:name w:val="box_473824"/>
    <w:basedOn w:val="Normal"/>
    <w:rsid w:val="00423EAF"/>
    <w:pPr>
      <w:spacing w:before="100" w:beforeAutospacing="1" w:after="100" w:afterAutospacing="1"/>
      <w:jc w:val="left"/>
    </w:pPr>
  </w:style>
  <w:style w:type="paragraph" w:customStyle="1" w:styleId="box473809">
    <w:name w:val="box_473809"/>
    <w:basedOn w:val="Normal"/>
    <w:rsid w:val="00423EAF"/>
    <w:pPr>
      <w:spacing w:before="100" w:beforeAutospacing="1" w:after="100" w:afterAutospacing="1"/>
      <w:jc w:val="left"/>
    </w:pPr>
  </w:style>
  <w:style w:type="paragraph" w:customStyle="1" w:styleId="xmsonormal">
    <w:name w:val="x_msonormal"/>
    <w:basedOn w:val="Normal"/>
    <w:rsid w:val="00090DF0"/>
    <w:pPr>
      <w:jc w:val="left"/>
    </w:pPr>
    <w:rPr>
      <w:rFonts w:eastAsiaTheme="minorHAnsi"/>
    </w:rPr>
  </w:style>
  <w:style w:type="character" w:styleId="Referencafusnote">
    <w:name w:val="footnote reference"/>
    <w:aliases w:val="BVI fnr,16 Point,Superscript 6 Point"/>
    <w:uiPriority w:val="99"/>
    <w:rsid w:val="00AC7C5D"/>
    <w:rPr>
      <w:vertAlign w:val="superscript"/>
    </w:rPr>
  </w:style>
  <w:style w:type="character" w:customStyle="1" w:styleId="TekstfusnoteChar">
    <w:name w:val="Tekst fusnote Char"/>
    <w:aliases w:val="Tekst fusnote Char2 Char Char,Tekst fusnote Char1 Char1 Char Char,Tekst fusnote Char Char Char1 Char Char,Tekst fusnote Char1 Char Char Char Char Char,Tekst fusnote Char Char Char Char Char Char Char,fn Char,Fußnote Char"/>
    <w:link w:val="Tekstfusnote"/>
    <w:uiPriority w:val="99"/>
    <w:rsid w:val="00AC7C5D"/>
    <w:rPr>
      <w:lang w:eastAsia="hr-HR"/>
    </w:rPr>
  </w:style>
  <w:style w:type="paragraph" w:styleId="Tekstfusnote">
    <w:name w:val="footnote text"/>
    <w:aliases w:val="Tekst fusnote Char2 Char,Tekst fusnote Char1 Char1 Char,Tekst fusnote Char Char Char1 Char,Tekst fusnote Char1 Char Char Char Char,Tekst fusnote Char Char Char Char Char Char,Tekst fusnote Char Char1 Char Char,fn,Fußnote"/>
    <w:basedOn w:val="Normal"/>
    <w:link w:val="TekstfusnoteChar"/>
    <w:uiPriority w:val="99"/>
    <w:rsid w:val="00AC7C5D"/>
    <w:pPr>
      <w:jc w:val="left"/>
    </w:pPr>
    <w:rPr>
      <w:rFonts w:asciiTheme="minorHAnsi" w:eastAsiaTheme="minorHAnsi" w:hAnsiTheme="minorHAnsi" w:cstheme="minorBidi"/>
      <w:sz w:val="22"/>
      <w:szCs w:val="22"/>
    </w:rPr>
  </w:style>
  <w:style w:type="character" w:customStyle="1" w:styleId="TekstfusnoteChar1">
    <w:name w:val="Tekst fusnote Char1"/>
    <w:basedOn w:val="Zadanifontodlomka"/>
    <w:uiPriority w:val="99"/>
    <w:semiHidden/>
    <w:rsid w:val="00AC7C5D"/>
    <w:rPr>
      <w:rFonts w:ascii="Times New Roman" w:eastAsia="Times New Roman" w:hAnsi="Times New Roman" w:cs="Times New Roman"/>
      <w:sz w:val="20"/>
      <w:szCs w:val="20"/>
      <w:lang w:eastAsia="hr-HR"/>
    </w:rPr>
  </w:style>
  <w:style w:type="paragraph" w:styleId="Zaglavlje">
    <w:name w:val="header"/>
    <w:basedOn w:val="Normal"/>
    <w:link w:val="ZaglavljeChar"/>
    <w:uiPriority w:val="99"/>
    <w:unhideWhenUsed/>
    <w:rsid w:val="000E49E5"/>
    <w:pPr>
      <w:tabs>
        <w:tab w:val="center" w:pos="4536"/>
        <w:tab w:val="right" w:pos="9072"/>
      </w:tabs>
    </w:pPr>
  </w:style>
  <w:style w:type="character" w:customStyle="1" w:styleId="ZaglavljeChar">
    <w:name w:val="Zaglavlje Char"/>
    <w:basedOn w:val="Zadanifontodlomka"/>
    <w:link w:val="Zaglavlje"/>
    <w:uiPriority w:val="99"/>
    <w:rsid w:val="000E49E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0E49E5"/>
    <w:pPr>
      <w:tabs>
        <w:tab w:val="center" w:pos="4536"/>
        <w:tab w:val="right" w:pos="9072"/>
      </w:tabs>
    </w:pPr>
  </w:style>
  <w:style w:type="character" w:customStyle="1" w:styleId="PodnojeChar">
    <w:name w:val="Podnožje Char"/>
    <w:basedOn w:val="Zadanifontodlomka"/>
    <w:link w:val="Podnoje"/>
    <w:uiPriority w:val="99"/>
    <w:rsid w:val="000E49E5"/>
    <w:rPr>
      <w:rFonts w:ascii="Times New Roman" w:eastAsia="Times New Roman" w:hAnsi="Times New Roman" w:cs="Times New Roman"/>
      <w:sz w:val="24"/>
      <w:szCs w:val="24"/>
      <w:lang w:eastAsia="hr-HR"/>
    </w:rPr>
  </w:style>
  <w:style w:type="paragraph" w:styleId="Opisslike">
    <w:name w:val="caption"/>
    <w:basedOn w:val="Normal"/>
    <w:next w:val="Normal"/>
    <w:unhideWhenUsed/>
    <w:qFormat/>
    <w:rsid w:val="00E13AB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4118">
      <w:bodyDiv w:val="1"/>
      <w:marLeft w:val="0"/>
      <w:marRight w:val="0"/>
      <w:marTop w:val="0"/>
      <w:marBottom w:val="0"/>
      <w:divBdr>
        <w:top w:val="none" w:sz="0" w:space="0" w:color="auto"/>
        <w:left w:val="none" w:sz="0" w:space="0" w:color="auto"/>
        <w:bottom w:val="none" w:sz="0" w:space="0" w:color="auto"/>
        <w:right w:val="none" w:sz="0" w:space="0" w:color="auto"/>
      </w:divBdr>
    </w:div>
    <w:div w:id="380176004">
      <w:bodyDiv w:val="1"/>
      <w:marLeft w:val="0"/>
      <w:marRight w:val="0"/>
      <w:marTop w:val="0"/>
      <w:marBottom w:val="0"/>
      <w:divBdr>
        <w:top w:val="none" w:sz="0" w:space="0" w:color="auto"/>
        <w:left w:val="none" w:sz="0" w:space="0" w:color="auto"/>
        <w:bottom w:val="none" w:sz="0" w:space="0" w:color="auto"/>
        <w:right w:val="none" w:sz="0" w:space="0" w:color="auto"/>
      </w:divBdr>
    </w:div>
    <w:div w:id="401103012">
      <w:bodyDiv w:val="1"/>
      <w:marLeft w:val="0"/>
      <w:marRight w:val="0"/>
      <w:marTop w:val="0"/>
      <w:marBottom w:val="0"/>
      <w:divBdr>
        <w:top w:val="none" w:sz="0" w:space="0" w:color="auto"/>
        <w:left w:val="none" w:sz="0" w:space="0" w:color="auto"/>
        <w:bottom w:val="none" w:sz="0" w:space="0" w:color="auto"/>
        <w:right w:val="none" w:sz="0" w:space="0" w:color="auto"/>
      </w:divBdr>
    </w:div>
    <w:div w:id="427845656">
      <w:bodyDiv w:val="1"/>
      <w:marLeft w:val="0"/>
      <w:marRight w:val="0"/>
      <w:marTop w:val="0"/>
      <w:marBottom w:val="0"/>
      <w:divBdr>
        <w:top w:val="none" w:sz="0" w:space="0" w:color="auto"/>
        <w:left w:val="none" w:sz="0" w:space="0" w:color="auto"/>
        <w:bottom w:val="none" w:sz="0" w:space="0" w:color="auto"/>
        <w:right w:val="none" w:sz="0" w:space="0" w:color="auto"/>
      </w:divBdr>
    </w:div>
    <w:div w:id="430593292">
      <w:bodyDiv w:val="1"/>
      <w:marLeft w:val="0"/>
      <w:marRight w:val="0"/>
      <w:marTop w:val="0"/>
      <w:marBottom w:val="0"/>
      <w:divBdr>
        <w:top w:val="none" w:sz="0" w:space="0" w:color="auto"/>
        <w:left w:val="none" w:sz="0" w:space="0" w:color="auto"/>
        <w:bottom w:val="none" w:sz="0" w:space="0" w:color="auto"/>
        <w:right w:val="none" w:sz="0" w:space="0" w:color="auto"/>
      </w:divBdr>
    </w:div>
    <w:div w:id="572737327">
      <w:bodyDiv w:val="1"/>
      <w:marLeft w:val="0"/>
      <w:marRight w:val="0"/>
      <w:marTop w:val="0"/>
      <w:marBottom w:val="0"/>
      <w:divBdr>
        <w:top w:val="none" w:sz="0" w:space="0" w:color="auto"/>
        <w:left w:val="none" w:sz="0" w:space="0" w:color="auto"/>
        <w:bottom w:val="none" w:sz="0" w:space="0" w:color="auto"/>
        <w:right w:val="none" w:sz="0" w:space="0" w:color="auto"/>
      </w:divBdr>
    </w:div>
    <w:div w:id="593827586">
      <w:bodyDiv w:val="1"/>
      <w:marLeft w:val="0"/>
      <w:marRight w:val="0"/>
      <w:marTop w:val="0"/>
      <w:marBottom w:val="0"/>
      <w:divBdr>
        <w:top w:val="none" w:sz="0" w:space="0" w:color="auto"/>
        <w:left w:val="none" w:sz="0" w:space="0" w:color="auto"/>
        <w:bottom w:val="none" w:sz="0" w:space="0" w:color="auto"/>
        <w:right w:val="none" w:sz="0" w:space="0" w:color="auto"/>
      </w:divBdr>
    </w:div>
    <w:div w:id="632488782">
      <w:bodyDiv w:val="1"/>
      <w:marLeft w:val="0"/>
      <w:marRight w:val="0"/>
      <w:marTop w:val="0"/>
      <w:marBottom w:val="0"/>
      <w:divBdr>
        <w:top w:val="none" w:sz="0" w:space="0" w:color="auto"/>
        <w:left w:val="none" w:sz="0" w:space="0" w:color="auto"/>
        <w:bottom w:val="none" w:sz="0" w:space="0" w:color="auto"/>
        <w:right w:val="none" w:sz="0" w:space="0" w:color="auto"/>
      </w:divBdr>
    </w:div>
    <w:div w:id="664940830">
      <w:bodyDiv w:val="1"/>
      <w:marLeft w:val="0"/>
      <w:marRight w:val="0"/>
      <w:marTop w:val="0"/>
      <w:marBottom w:val="0"/>
      <w:divBdr>
        <w:top w:val="none" w:sz="0" w:space="0" w:color="auto"/>
        <w:left w:val="none" w:sz="0" w:space="0" w:color="auto"/>
        <w:bottom w:val="none" w:sz="0" w:space="0" w:color="auto"/>
        <w:right w:val="none" w:sz="0" w:space="0" w:color="auto"/>
      </w:divBdr>
    </w:div>
    <w:div w:id="681665818">
      <w:bodyDiv w:val="1"/>
      <w:marLeft w:val="0"/>
      <w:marRight w:val="0"/>
      <w:marTop w:val="0"/>
      <w:marBottom w:val="0"/>
      <w:divBdr>
        <w:top w:val="none" w:sz="0" w:space="0" w:color="auto"/>
        <w:left w:val="none" w:sz="0" w:space="0" w:color="auto"/>
        <w:bottom w:val="none" w:sz="0" w:space="0" w:color="auto"/>
        <w:right w:val="none" w:sz="0" w:space="0" w:color="auto"/>
      </w:divBdr>
    </w:div>
    <w:div w:id="692875437">
      <w:bodyDiv w:val="1"/>
      <w:marLeft w:val="0"/>
      <w:marRight w:val="0"/>
      <w:marTop w:val="0"/>
      <w:marBottom w:val="0"/>
      <w:divBdr>
        <w:top w:val="none" w:sz="0" w:space="0" w:color="auto"/>
        <w:left w:val="none" w:sz="0" w:space="0" w:color="auto"/>
        <w:bottom w:val="none" w:sz="0" w:space="0" w:color="auto"/>
        <w:right w:val="none" w:sz="0" w:space="0" w:color="auto"/>
      </w:divBdr>
    </w:div>
    <w:div w:id="762720633">
      <w:bodyDiv w:val="1"/>
      <w:marLeft w:val="0"/>
      <w:marRight w:val="0"/>
      <w:marTop w:val="0"/>
      <w:marBottom w:val="0"/>
      <w:divBdr>
        <w:top w:val="none" w:sz="0" w:space="0" w:color="auto"/>
        <w:left w:val="none" w:sz="0" w:space="0" w:color="auto"/>
        <w:bottom w:val="none" w:sz="0" w:space="0" w:color="auto"/>
        <w:right w:val="none" w:sz="0" w:space="0" w:color="auto"/>
      </w:divBdr>
    </w:div>
    <w:div w:id="874466835">
      <w:bodyDiv w:val="1"/>
      <w:marLeft w:val="0"/>
      <w:marRight w:val="0"/>
      <w:marTop w:val="0"/>
      <w:marBottom w:val="0"/>
      <w:divBdr>
        <w:top w:val="none" w:sz="0" w:space="0" w:color="auto"/>
        <w:left w:val="none" w:sz="0" w:space="0" w:color="auto"/>
        <w:bottom w:val="none" w:sz="0" w:space="0" w:color="auto"/>
        <w:right w:val="none" w:sz="0" w:space="0" w:color="auto"/>
      </w:divBdr>
    </w:div>
    <w:div w:id="902638932">
      <w:bodyDiv w:val="1"/>
      <w:marLeft w:val="0"/>
      <w:marRight w:val="0"/>
      <w:marTop w:val="0"/>
      <w:marBottom w:val="0"/>
      <w:divBdr>
        <w:top w:val="none" w:sz="0" w:space="0" w:color="auto"/>
        <w:left w:val="none" w:sz="0" w:space="0" w:color="auto"/>
        <w:bottom w:val="none" w:sz="0" w:space="0" w:color="auto"/>
        <w:right w:val="none" w:sz="0" w:space="0" w:color="auto"/>
      </w:divBdr>
    </w:div>
    <w:div w:id="912785454">
      <w:bodyDiv w:val="1"/>
      <w:marLeft w:val="0"/>
      <w:marRight w:val="0"/>
      <w:marTop w:val="0"/>
      <w:marBottom w:val="0"/>
      <w:divBdr>
        <w:top w:val="none" w:sz="0" w:space="0" w:color="auto"/>
        <w:left w:val="none" w:sz="0" w:space="0" w:color="auto"/>
        <w:bottom w:val="none" w:sz="0" w:space="0" w:color="auto"/>
        <w:right w:val="none" w:sz="0" w:space="0" w:color="auto"/>
      </w:divBdr>
    </w:div>
    <w:div w:id="978802201">
      <w:bodyDiv w:val="1"/>
      <w:marLeft w:val="0"/>
      <w:marRight w:val="0"/>
      <w:marTop w:val="0"/>
      <w:marBottom w:val="0"/>
      <w:divBdr>
        <w:top w:val="none" w:sz="0" w:space="0" w:color="auto"/>
        <w:left w:val="none" w:sz="0" w:space="0" w:color="auto"/>
        <w:bottom w:val="none" w:sz="0" w:space="0" w:color="auto"/>
        <w:right w:val="none" w:sz="0" w:space="0" w:color="auto"/>
      </w:divBdr>
    </w:div>
    <w:div w:id="1017851592">
      <w:bodyDiv w:val="1"/>
      <w:marLeft w:val="0"/>
      <w:marRight w:val="0"/>
      <w:marTop w:val="0"/>
      <w:marBottom w:val="0"/>
      <w:divBdr>
        <w:top w:val="none" w:sz="0" w:space="0" w:color="auto"/>
        <w:left w:val="none" w:sz="0" w:space="0" w:color="auto"/>
        <w:bottom w:val="none" w:sz="0" w:space="0" w:color="auto"/>
        <w:right w:val="none" w:sz="0" w:space="0" w:color="auto"/>
      </w:divBdr>
    </w:div>
    <w:div w:id="1020473439">
      <w:bodyDiv w:val="1"/>
      <w:marLeft w:val="0"/>
      <w:marRight w:val="0"/>
      <w:marTop w:val="0"/>
      <w:marBottom w:val="0"/>
      <w:divBdr>
        <w:top w:val="none" w:sz="0" w:space="0" w:color="auto"/>
        <w:left w:val="none" w:sz="0" w:space="0" w:color="auto"/>
        <w:bottom w:val="none" w:sz="0" w:space="0" w:color="auto"/>
        <w:right w:val="none" w:sz="0" w:space="0" w:color="auto"/>
      </w:divBdr>
    </w:div>
    <w:div w:id="1046759300">
      <w:bodyDiv w:val="1"/>
      <w:marLeft w:val="0"/>
      <w:marRight w:val="0"/>
      <w:marTop w:val="0"/>
      <w:marBottom w:val="0"/>
      <w:divBdr>
        <w:top w:val="none" w:sz="0" w:space="0" w:color="auto"/>
        <w:left w:val="none" w:sz="0" w:space="0" w:color="auto"/>
        <w:bottom w:val="none" w:sz="0" w:space="0" w:color="auto"/>
        <w:right w:val="none" w:sz="0" w:space="0" w:color="auto"/>
      </w:divBdr>
    </w:div>
    <w:div w:id="1111901713">
      <w:bodyDiv w:val="1"/>
      <w:marLeft w:val="0"/>
      <w:marRight w:val="0"/>
      <w:marTop w:val="0"/>
      <w:marBottom w:val="0"/>
      <w:divBdr>
        <w:top w:val="none" w:sz="0" w:space="0" w:color="auto"/>
        <w:left w:val="none" w:sz="0" w:space="0" w:color="auto"/>
        <w:bottom w:val="none" w:sz="0" w:space="0" w:color="auto"/>
        <w:right w:val="none" w:sz="0" w:space="0" w:color="auto"/>
      </w:divBdr>
    </w:div>
    <w:div w:id="1122503640">
      <w:bodyDiv w:val="1"/>
      <w:marLeft w:val="0"/>
      <w:marRight w:val="0"/>
      <w:marTop w:val="0"/>
      <w:marBottom w:val="0"/>
      <w:divBdr>
        <w:top w:val="none" w:sz="0" w:space="0" w:color="auto"/>
        <w:left w:val="none" w:sz="0" w:space="0" w:color="auto"/>
        <w:bottom w:val="none" w:sz="0" w:space="0" w:color="auto"/>
        <w:right w:val="none" w:sz="0" w:space="0" w:color="auto"/>
      </w:divBdr>
    </w:div>
    <w:div w:id="1218934423">
      <w:bodyDiv w:val="1"/>
      <w:marLeft w:val="0"/>
      <w:marRight w:val="0"/>
      <w:marTop w:val="0"/>
      <w:marBottom w:val="0"/>
      <w:divBdr>
        <w:top w:val="none" w:sz="0" w:space="0" w:color="auto"/>
        <w:left w:val="none" w:sz="0" w:space="0" w:color="auto"/>
        <w:bottom w:val="none" w:sz="0" w:space="0" w:color="auto"/>
        <w:right w:val="none" w:sz="0" w:space="0" w:color="auto"/>
      </w:divBdr>
    </w:div>
    <w:div w:id="1363625612">
      <w:bodyDiv w:val="1"/>
      <w:marLeft w:val="0"/>
      <w:marRight w:val="0"/>
      <w:marTop w:val="0"/>
      <w:marBottom w:val="0"/>
      <w:divBdr>
        <w:top w:val="none" w:sz="0" w:space="0" w:color="auto"/>
        <w:left w:val="none" w:sz="0" w:space="0" w:color="auto"/>
        <w:bottom w:val="none" w:sz="0" w:space="0" w:color="auto"/>
        <w:right w:val="none" w:sz="0" w:space="0" w:color="auto"/>
      </w:divBdr>
    </w:div>
    <w:div w:id="1393654017">
      <w:bodyDiv w:val="1"/>
      <w:marLeft w:val="0"/>
      <w:marRight w:val="0"/>
      <w:marTop w:val="0"/>
      <w:marBottom w:val="0"/>
      <w:divBdr>
        <w:top w:val="none" w:sz="0" w:space="0" w:color="auto"/>
        <w:left w:val="none" w:sz="0" w:space="0" w:color="auto"/>
        <w:bottom w:val="none" w:sz="0" w:space="0" w:color="auto"/>
        <w:right w:val="none" w:sz="0" w:space="0" w:color="auto"/>
      </w:divBdr>
      <w:divsChild>
        <w:div w:id="1752581839">
          <w:marLeft w:val="0"/>
          <w:marRight w:val="0"/>
          <w:marTop w:val="0"/>
          <w:marBottom w:val="0"/>
          <w:divBdr>
            <w:top w:val="none" w:sz="0" w:space="0" w:color="auto"/>
            <w:left w:val="none" w:sz="0" w:space="0" w:color="auto"/>
            <w:bottom w:val="none" w:sz="0" w:space="0" w:color="auto"/>
            <w:right w:val="none" w:sz="0" w:space="0" w:color="auto"/>
          </w:divBdr>
          <w:divsChild>
            <w:div w:id="1973948003">
              <w:marLeft w:val="0"/>
              <w:marRight w:val="0"/>
              <w:marTop w:val="0"/>
              <w:marBottom w:val="0"/>
              <w:divBdr>
                <w:top w:val="none" w:sz="0" w:space="0" w:color="auto"/>
                <w:left w:val="none" w:sz="0" w:space="0" w:color="auto"/>
                <w:bottom w:val="none" w:sz="0" w:space="0" w:color="auto"/>
                <w:right w:val="none" w:sz="0" w:space="0" w:color="auto"/>
              </w:divBdr>
            </w:div>
          </w:divsChild>
        </w:div>
        <w:div w:id="1196384412">
          <w:marLeft w:val="0"/>
          <w:marRight w:val="0"/>
          <w:marTop w:val="0"/>
          <w:marBottom w:val="0"/>
          <w:divBdr>
            <w:top w:val="none" w:sz="0" w:space="0" w:color="auto"/>
            <w:left w:val="none" w:sz="0" w:space="0" w:color="auto"/>
            <w:bottom w:val="none" w:sz="0" w:space="0" w:color="auto"/>
            <w:right w:val="none" w:sz="0" w:space="0" w:color="auto"/>
          </w:divBdr>
          <w:divsChild>
            <w:div w:id="599532230">
              <w:marLeft w:val="0"/>
              <w:marRight w:val="0"/>
              <w:marTop w:val="0"/>
              <w:marBottom w:val="150"/>
              <w:divBdr>
                <w:top w:val="none" w:sz="0" w:space="0" w:color="auto"/>
                <w:left w:val="none" w:sz="0" w:space="0" w:color="auto"/>
                <w:bottom w:val="none" w:sz="0" w:space="0" w:color="auto"/>
                <w:right w:val="none" w:sz="0" w:space="0" w:color="auto"/>
              </w:divBdr>
              <w:divsChild>
                <w:div w:id="540633677">
                  <w:marLeft w:val="0"/>
                  <w:marRight w:val="0"/>
                  <w:marTop w:val="0"/>
                  <w:marBottom w:val="0"/>
                  <w:divBdr>
                    <w:top w:val="none" w:sz="0" w:space="0" w:color="auto"/>
                    <w:left w:val="none" w:sz="0" w:space="0" w:color="auto"/>
                    <w:bottom w:val="none" w:sz="0" w:space="0" w:color="auto"/>
                    <w:right w:val="none" w:sz="0" w:space="0" w:color="auto"/>
                  </w:divBdr>
                </w:div>
              </w:divsChild>
            </w:div>
            <w:div w:id="721948336">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121307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659878">
      <w:bodyDiv w:val="1"/>
      <w:marLeft w:val="0"/>
      <w:marRight w:val="0"/>
      <w:marTop w:val="0"/>
      <w:marBottom w:val="0"/>
      <w:divBdr>
        <w:top w:val="none" w:sz="0" w:space="0" w:color="auto"/>
        <w:left w:val="none" w:sz="0" w:space="0" w:color="auto"/>
        <w:bottom w:val="none" w:sz="0" w:space="0" w:color="auto"/>
        <w:right w:val="none" w:sz="0" w:space="0" w:color="auto"/>
      </w:divBdr>
    </w:div>
    <w:div w:id="1454246576">
      <w:bodyDiv w:val="1"/>
      <w:marLeft w:val="0"/>
      <w:marRight w:val="0"/>
      <w:marTop w:val="0"/>
      <w:marBottom w:val="0"/>
      <w:divBdr>
        <w:top w:val="none" w:sz="0" w:space="0" w:color="auto"/>
        <w:left w:val="none" w:sz="0" w:space="0" w:color="auto"/>
        <w:bottom w:val="none" w:sz="0" w:space="0" w:color="auto"/>
        <w:right w:val="none" w:sz="0" w:space="0" w:color="auto"/>
      </w:divBdr>
    </w:div>
    <w:div w:id="1483886047">
      <w:bodyDiv w:val="1"/>
      <w:marLeft w:val="0"/>
      <w:marRight w:val="0"/>
      <w:marTop w:val="0"/>
      <w:marBottom w:val="0"/>
      <w:divBdr>
        <w:top w:val="none" w:sz="0" w:space="0" w:color="auto"/>
        <w:left w:val="none" w:sz="0" w:space="0" w:color="auto"/>
        <w:bottom w:val="none" w:sz="0" w:space="0" w:color="auto"/>
        <w:right w:val="none" w:sz="0" w:space="0" w:color="auto"/>
      </w:divBdr>
    </w:div>
    <w:div w:id="1538812006">
      <w:bodyDiv w:val="1"/>
      <w:marLeft w:val="0"/>
      <w:marRight w:val="0"/>
      <w:marTop w:val="0"/>
      <w:marBottom w:val="0"/>
      <w:divBdr>
        <w:top w:val="none" w:sz="0" w:space="0" w:color="auto"/>
        <w:left w:val="none" w:sz="0" w:space="0" w:color="auto"/>
        <w:bottom w:val="none" w:sz="0" w:space="0" w:color="auto"/>
        <w:right w:val="none" w:sz="0" w:space="0" w:color="auto"/>
      </w:divBdr>
    </w:div>
    <w:div w:id="1848708255">
      <w:bodyDiv w:val="1"/>
      <w:marLeft w:val="0"/>
      <w:marRight w:val="0"/>
      <w:marTop w:val="0"/>
      <w:marBottom w:val="0"/>
      <w:divBdr>
        <w:top w:val="none" w:sz="0" w:space="0" w:color="auto"/>
        <w:left w:val="none" w:sz="0" w:space="0" w:color="auto"/>
        <w:bottom w:val="none" w:sz="0" w:space="0" w:color="auto"/>
        <w:right w:val="none" w:sz="0" w:space="0" w:color="auto"/>
      </w:divBdr>
    </w:div>
    <w:div w:id="1854418952">
      <w:bodyDiv w:val="1"/>
      <w:marLeft w:val="0"/>
      <w:marRight w:val="0"/>
      <w:marTop w:val="0"/>
      <w:marBottom w:val="0"/>
      <w:divBdr>
        <w:top w:val="none" w:sz="0" w:space="0" w:color="auto"/>
        <w:left w:val="none" w:sz="0" w:space="0" w:color="auto"/>
        <w:bottom w:val="none" w:sz="0" w:space="0" w:color="auto"/>
        <w:right w:val="none" w:sz="0" w:space="0" w:color="auto"/>
      </w:divBdr>
    </w:div>
    <w:div w:id="1935355770">
      <w:bodyDiv w:val="1"/>
      <w:marLeft w:val="0"/>
      <w:marRight w:val="0"/>
      <w:marTop w:val="0"/>
      <w:marBottom w:val="0"/>
      <w:divBdr>
        <w:top w:val="none" w:sz="0" w:space="0" w:color="auto"/>
        <w:left w:val="none" w:sz="0" w:space="0" w:color="auto"/>
        <w:bottom w:val="none" w:sz="0" w:space="0" w:color="auto"/>
        <w:right w:val="none" w:sz="0" w:space="0" w:color="auto"/>
      </w:divBdr>
    </w:div>
    <w:div w:id="2033995751">
      <w:bodyDiv w:val="1"/>
      <w:marLeft w:val="0"/>
      <w:marRight w:val="0"/>
      <w:marTop w:val="0"/>
      <w:marBottom w:val="0"/>
      <w:divBdr>
        <w:top w:val="none" w:sz="0" w:space="0" w:color="auto"/>
        <w:left w:val="none" w:sz="0" w:space="0" w:color="auto"/>
        <w:bottom w:val="none" w:sz="0" w:space="0" w:color="auto"/>
        <w:right w:val="none" w:sz="0" w:space="0" w:color="auto"/>
      </w:divBdr>
    </w:div>
    <w:div w:id="2051298442">
      <w:bodyDiv w:val="1"/>
      <w:marLeft w:val="0"/>
      <w:marRight w:val="0"/>
      <w:marTop w:val="0"/>
      <w:marBottom w:val="0"/>
      <w:divBdr>
        <w:top w:val="none" w:sz="0" w:space="0" w:color="auto"/>
        <w:left w:val="none" w:sz="0" w:space="0" w:color="auto"/>
        <w:bottom w:val="none" w:sz="0" w:space="0" w:color="auto"/>
        <w:right w:val="none" w:sz="0" w:space="0" w:color="auto"/>
      </w:divBdr>
    </w:div>
    <w:div w:id="209080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hart" Target="charts/chart1.xml"/><Relationship Id="rId25" Type="http://schemas.openxmlformats.org/officeDocument/2006/relationships/image" Target="media/image17.emf"/><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png"/><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png"/><Relationship Id="rId32" Type="http://schemas.openxmlformats.org/officeDocument/2006/relationships/image" Target="media/image2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mf22\Izvr&#353;enje\analiza%20rashoda\2025\godi&#353;nji\rashodi%20poslovanja\rh%20poslovanja%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402209082719933"/>
          <c:y val="9.8185183520078795E-2"/>
          <c:w val="0.55733926894456309"/>
          <c:h val="0.7431187390308545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512-429C-B2F5-E22921F17D2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512-429C-B2F5-E22921F17D2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512-429C-B2F5-E22921F17D2D}"/>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512-429C-B2F5-E22921F17D2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512-429C-B2F5-E22921F17D2D}"/>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1512-429C-B2F5-E22921F17D2D}"/>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1512-429C-B2F5-E22921F17D2D}"/>
              </c:ext>
            </c:extLst>
          </c:dPt>
          <c:dLbls>
            <c:dLbl>
              <c:idx val="0"/>
              <c:layout>
                <c:manualLayout>
                  <c:x val="5.7657657657657659E-2"/>
                  <c:y val="-1.7204301075268821E-2"/>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512-429C-B2F5-E22921F17D2D}"/>
                </c:ext>
              </c:extLst>
            </c:dLbl>
            <c:dLbl>
              <c:idx val="1"/>
              <c:layout>
                <c:manualLayout>
                  <c:x val="1.4388498734955428E-2"/>
                  <c:y val="-2.6412494610164157E-2"/>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512-429C-B2F5-E22921F17D2D}"/>
                </c:ext>
              </c:extLst>
            </c:dLbl>
            <c:dLbl>
              <c:idx val="2"/>
              <c:layout>
                <c:manualLayout>
                  <c:x val="-4.8567031726897338E-2"/>
                  <c:y val="-1.8347039953339167E-3"/>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512-429C-B2F5-E22921F17D2D}"/>
                </c:ext>
              </c:extLst>
            </c:dLbl>
            <c:dLbl>
              <c:idx val="3"/>
              <c:layout>
                <c:manualLayout>
                  <c:x val="-5.413304607282398E-2"/>
                  <c:y val="-1.4032079323417906E-2"/>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512-429C-B2F5-E22921F17D2D}"/>
                </c:ext>
              </c:extLst>
            </c:dLbl>
            <c:dLbl>
              <c:idx val="4"/>
              <c:layout>
                <c:manualLayout>
                  <c:x val="-0.20401990855245358"/>
                  <c:y val="-2.4239417567271924E-3"/>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1512-429C-B2F5-E22921F17D2D}"/>
                </c:ext>
              </c:extLst>
            </c:dLbl>
            <c:dLbl>
              <c:idx val="5"/>
              <c:layout>
                <c:manualLayout>
                  <c:x val="4.8048048048048046E-3"/>
                  <c:y val="-0.15483874428575223"/>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1512-429C-B2F5-E22921F17D2D}"/>
                </c:ext>
              </c:extLst>
            </c:dLbl>
            <c:dLbl>
              <c:idx val="6"/>
              <c:layout>
                <c:manualLayout>
                  <c:x val="9.6628407935494556E-2"/>
                  <c:y val="-3.3240726927926401E-3"/>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1512-429C-B2F5-E22921F17D2D}"/>
                </c:ext>
              </c:extLst>
            </c:dLbl>
            <c:spPr>
              <a:noFill/>
              <a:ln w="25400">
                <a:noFill/>
              </a:ln>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r-Latn-R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'T0001 (2)'!$H$46:$H$52</c:f>
              <c:strCache>
                <c:ptCount val="7"/>
                <c:pt idx="0">
                  <c:v>37 Naknade građanima i kućanstvima na temelju osiguranja i druge naknade</c:v>
                </c:pt>
                <c:pt idx="1">
                  <c:v>36 Pomoći dane u inozemstvo i unutar općeg proračuna</c:v>
                </c:pt>
                <c:pt idx="2">
                  <c:v>31 Rashodi za zaposlene</c:v>
                </c:pt>
                <c:pt idx="3">
                  <c:v>32 Materijalni rashodi</c:v>
                </c:pt>
                <c:pt idx="4">
                  <c:v>38 Ostali rashodi</c:v>
                </c:pt>
                <c:pt idx="5">
                  <c:v>35 Subvencije</c:v>
                </c:pt>
                <c:pt idx="6">
                  <c:v>34 Financijski rashodi</c:v>
                </c:pt>
              </c:strCache>
            </c:strRef>
          </c:cat>
          <c:val>
            <c:numRef>
              <c:f>'T0001 (2)'!$I$46:$I$52</c:f>
              <c:numCache>
                <c:formatCode>0.0%</c:formatCode>
                <c:ptCount val="7"/>
                <c:pt idx="0">
                  <c:v>0.355240235331163</c:v>
                </c:pt>
                <c:pt idx="1">
                  <c:v>0.2167648609705653</c:v>
                </c:pt>
                <c:pt idx="2">
                  <c:v>0.18532124784263329</c:v>
                </c:pt>
                <c:pt idx="3">
                  <c:v>0.10804455761575733</c:v>
                </c:pt>
                <c:pt idx="4">
                  <c:v>5.0523747056710859E-2</c:v>
                </c:pt>
                <c:pt idx="5">
                  <c:v>4.8589720163812605E-2</c:v>
                </c:pt>
                <c:pt idx="6">
                  <c:v>3.5515631019357931E-2</c:v>
                </c:pt>
              </c:numCache>
            </c:numRef>
          </c:val>
          <c:extLst>
            <c:ext xmlns:c16="http://schemas.microsoft.com/office/drawing/2014/chart" uri="{C3380CC4-5D6E-409C-BE32-E72D297353CC}">
              <c16:uniqueId val="{0000000E-1512-429C-B2F5-E22921F17D2D}"/>
            </c:ext>
          </c:extLst>
        </c:ser>
        <c:dLbls>
          <c:showLegendKey val="0"/>
          <c:showVal val="0"/>
          <c:showCatName val="0"/>
          <c:showSerName val="0"/>
          <c:showPercent val="0"/>
          <c:showBubbleSize val="0"/>
          <c:showLeaderLines val="1"/>
        </c:dLbls>
        <c:firstSliceAng val="350"/>
      </c:pieChart>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sr-Latn-RS"/>
    </a:p>
  </c:txPr>
  <c:externalData r:id="rId1">
    <c:autoUpdate val="0"/>
  </c:externalData>
</c:chartSpac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C3612-2706-43FD-BEC2-CC2DE94F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37</Pages>
  <Words>11371</Words>
  <Characters>64820</Characters>
  <Application>Microsoft Office Word</Application>
  <DocSecurity>0</DocSecurity>
  <Lines>540</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Kovač Jagar</dc:creator>
  <cp:keywords/>
  <dc:description/>
  <cp:lastModifiedBy>Viktorija Franjić</cp:lastModifiedBy>
  <cp:revision>55</cp:revision>
  <cp:lastPrinted>2026-05-06T08:15:00Z</cp:lastPrinted>
  <dcterms:created xsi:type="dcterms:W3CDTF">2026-05-04T09:47:00Z</dcterms:created>
  <dcterms:modified xsi:type="dcterms:W3CDTF">2026-05-06T08:57:00Z</dcterms:modified>
</cp:coreProperties>
</file>